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0E" w:rsidRDefault="0057140E"/>
    <w:tbl>
      <w:tblPr>
        <w:tblW w:w="500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1"/>
        <w:gridCol w:w="2406"/>
        <w:gridCol w:w="95"/>
        <w:gridCol w:w="1057"/>
        <w:gridCol w:w="271"/>
        <w:gridCol w:w="426"/>
        <w:gridCol w:w="981"/>
        <w:gridCol w:w="1277"/>
      </w:tblGrid>
      <w:tr w:rsidR="004F39A0" w:rsidRPr="00EA6C80" w:rsidTr="00AC3BBE">
        <w:tc>
          <w:tcPr>
            <w:tcW w:w="90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tbl>
            <w:tblPr>
              <w:tblW w:w="5000" w:type="pct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746"/>
            </w:tblGrid>
            <w:tr w:rsidR="004F39A0" w:rsidRPr="00DE1E78" w:rsidTr="00624461">
              <w:tc>
                <w:tcPr>
                  <w:tcW w:w="9360" w:type="dxa"/>
                  <w:shd w:val="clear" w:color="auto" w:fill="F3F3F3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4F39A0" w:rsidRPr="00DE1E78" w:rsidRDefault="004F39A0" w:rsidP="00024110">
                  <w:pPr>
                    <w:spacing w:after="0" w:line="240" w:lineRule="auto"/>
                    <w:jc w:val="right"/>
                    <w:rPr>
                      <w:b/>
                    </w:rPr>
                  </w:pPr>
                  <w:r w:rsidRPr="00DE1E78">
                    <w:rPr>
                      <w:b/>
                    </w:rPr>
                    <w:t>IZVEDBENI PLAN NASTAVE KOLEGIJA</w:t>
                  </w:r>
                </w:p>
              </w:tc>
            </w:tr>
          </w:tbl>
          <w:p w:rsidR="004F39A0" w:rsidRDefault="004F39A0"/>
        </w:tc>
      </w:tr>
      <w:tr w:rsidR="009477B6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7B6" w:rsidRPr="00EA6C80" w:rsidRDefault="009477B6" w:rsidP="00EA6C80">
            <w:pPr>
              <w:spacing w:after="0" w:line="240" w:lineRule="auto"/>
            </w:pPr>
            <w:r>
              <w:t xml:space="preserve">Kod i naziv kolegija 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7B6" w:rsidRDefault="009477B6" w:rsidP="002E097F">
            <w:pPr>
              <w:spacing w:after="0" w:line="240" w:lineRule="auto"/>
              <w:rPr>
                <w:lang w:val="it-IT"/>
              </w:rPr>
            </w:pPr>
            <w:r w:rsidRPr="00B337D1">
              <w:rPr>
                <w:rFonts w:eastAsia="Times New Roman" w:cs="Times New Roman"/>
                <w:b/>
                <w:bCs/>
                <w:lang w:eastAsia="hr-HR"/>
              </w:rPr>
              <w:t>Upravljanje atrakcijama u turizmu (</w:t>
            </w:r>
            <w:r w:rsidR="002E097F">
              <w:rPr>
                <w:rFonts w:eastAsia="Times New Roman" w:cs="Times New Roman"/>
                <w:b/>
                <w:bCs/>
                <w:lang w:eastAsia="hr-HR"/>
              </w:rPr>
              <w:t>160334</w:t>
            </w:r>
            <w:r w:rsidRPr="00B337D1">
              <w:rPr>
                <w:rFonts w:eastAsia="Times New Roman" w:cs="Times New Roman"/>
                <w:b/>
                <w:bCs/>
                <w:lang w:eastAsia="hr-HR"/>
              </w:rPr>
              <w:t xml:space="preserve">) </w:t>
            </w: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Nastavnik/nastavnica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Suradnik/suradnica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3BBE" w:rsidRDefault="00AC3BBE" w:rsidP="00AC3BBE">
            <w:pPr>
              <w:spacing w:after="0" w:line="240" w:lineRule="auto"/>
            </w:pPr>
            <w:r>
              <w:rPr>
                <w:lang w:val="it-IT"/>
              </w:rPr>
              <w:t>Prof.dr</w:t>
            </w:r>
            <w:r w:rsidRPr="00B337D1">
              <w:t>.</w:t>
            </w:r>
            <w:r>
              <w:rPr>
                <w:lang w:val="it-IT"/>
              </w:rPr>
              <w:t>sc</w:t>
            </w:r>
            <w:r w:rsidRPr="00B337D1">
              <w:t xml:space="preserve">. </w:t>
            </w:r>
            <w:r>
              <w:t xml:space="preserve">Jasmina Gržinić </w:t>
            </w:r>
          </w:p>
          <w:p w:rsidR="00B337D1" w:rsidRPr="00B337D1" w:rsidRDefault="00AC3BBE" w:rsidP="00AC3BBE">
            <w:pPr>
              <w:spacing w:after="0" w:line="240" w:lineRule="auto"/>
            </w:pPr>
            <w:r w:rsidRPr="004A7F97">
              <w:t>https://e-ucenje.unipu.hr/course/view.php?id=4234</w:t>
            </w: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Studijski program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Default="00AC3BBE" w:rsidP="00AC3BB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Pr="00B337D1">
              <w:rPr>
                <w:lang w:val="it-IT"/>
              </w:rPr>
              <w:t>reddiplomski</w:t>
            </w:r>
            <w:r>
              <w:rPr>
                <w:lang w:val="it-IT"/>
              </w:rPr>
              <w:t xml:space="preserve"> Sveučilišni studij Poslovna ekonomija, Turizam</w:t>
            </w:r>
          </w:p>
          <w:p w:rsidR="00AC3BBE" w:rsidRPr="00B337D1" w:rsidRDefault="00AC3BBE" w:rsidP="00AC3BBE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Studij uz rad</w:t>
            </w: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Vrsta kolegija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Izborni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Razina kolegija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37D1" w:rsidRPr="00EA6C80" w:rsidRDefault="00B337D1" w:rsidP="00B337D1">
            <w:pPr>
              <w:spacing w:after="0" w:line="240" w:lineRule="auto"/>
            </w:pPr>
            <w:r w:rsidRPr="00EA6C80">
              <w:t>Preddiplomski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Semestar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zimski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Godina studija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AC3BBE" w:rsidP="00EA6C80">
            <w:pPr>
              <w:spacing w:after="0" w:line="240" w:lineRule="auto"/>
            </w:pPr>
            <w:r>
              <w:t>III</w:t>
            </w:r>
            <w:r w:rsidR="00B337D1">
              <w:t>.</w:t>
            </w: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Mjesto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izvođenja</w:t>
            </w:r>
            <w:proofErr w:type="spell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06334B">
            <w:pPr>
              <w:spacing w:after="0" w:line="240" w:lineRule="auto"/>
            </w:pPr>
            <w:r>
              <w:t xml:space="preserve">Dvorana </w:t>
            </w:r>
            <w:r w:rsidR="0006334B">
              <w:t>(</w:t>
            </w:r>
            <w:proofErr w:type="spellStart"/>
            <w:r w:rsidR="0006334B">
              <w:t>Preradovićeva</w:t>
            </w:r>
            <w:proofErr w:type="spellEnd"/>
            <w:r w:rsidR="0006334B">
              <w:t>) ili online (UNIPU odluka)</w:t>
            </w:r>
            <w:r>
              <w:t xml:space="preserve"> 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Jezik</w:t>
            </w:r>
            <w:proofErr w:type="spellEnd"/>
            <w:r w:rsidRPr="00EA6C80">
              <w:t xml:space="preserve"> izvođenja (drugi jezici)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EA6C8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Hrvatski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Broj ECTS bodova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EA6C80">
            <w:pPr>
              <w:spacing w:after="0" w:line="240" w:lineRule="auto"/>
            </w:pPr>
            <w:r>
              <w:t>3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Broj sati u semestru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B337D1">
            <w:pPr>
              <w:spacing w:after="0" w:line="240" w:lineRule="auto"/>
            </w:pPr>
            <w:r>
              <w:rPr>
                <w:lang w:val="en-US"/>
              </w:rPr>
              <w:t>(</w:t>
            </w:r>
            <w:r w:rsidR="00EA6C80" w:rsidRPr="00EA6C80">
              <w:rPr>
                <w:lang w:val="en-US"/>
              </w:rPr>
              <w:t xml:space="preserve"> </w:t>
            </w:r>
            <w:r>
              <w:rPr>
                <w:lang w:val="en-US"/>
              </w:rPr>
              <w:t>15</w:t>
            </w:r>
            <w:r w:rsidR="00EA6C80" w:rsidRPr="00EA6C80">
              <w:rPr>
                <w:lang w:val="en-US"/>
              </w:rPr>
              <w:t>P</w:t>
            </w:r>
            <w:r w:rsidR="00EA6C80" w:rsidRPr="00EA6C80">
              <w:t xml:space="preserve"> – 0</w:t>
            </w:r>
            <w:r w:rsidR="00EA6C80" w:rsidRPr="00EA6C80">
              <w:rPr>
                <w:lang w:val="en-US"/>
              </w:rPr>
              <w:t>V</w:t>
            </w:r>
            <w:r w:rsidR="00EA6C80" w:rsidRPr="00EA6C80">
              <w:t xml:space="preserve"> – 15</w:t>
            </w:r>
            <w:r w:rsidR="00EA6C80" w:rsidRPr="00EA6C80">
              <w:rPr>
                <w:lang w:val="en-US"/>
              </w:rPr>
              <w:t>S</w:t>
            </w:r>
            <w:r w:rsidR="00EA6C80" w:rsidRPr="00EA6C80">
              <w:t>)</w:t>
            </w: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Preduvjeti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EA6C80">
            <w:pPr>
              <w:spacing w:after="0" w:line="240" w:lineRule="auto"/>
            </w:pPr>
            <w:r>
              <w:t>-</w:t>
            </w: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A1616B" w:rsidP="00EA6C8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Korelativnost</w:t>
            </w:r>
            <w:proofErr w:type="spellEnd"/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B337D1">
            <w:pPr>
              <w:spacing w:after="0" w:line="240" w:lineRule="auto"/>
            </w:pPr>
            <w:r w:rsidRPr="00754AF3">
              <w:t>Kulturno – povijesni spomenici, Povijest dokolice i turizma, uvod u turizam</w:t>
            </w: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Cilj kolegija 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1"/>
            </w:tblGrid>
            <w:tr w:rsidR="00B337D1" w:rsidRPr="00E774E2" w:rsidTr="00B337D1">
              <w:trPr>
                <w:trHeight w:val="916"/>
              </w:trPr>
              <w:tc>
                <w:tcPr>
                  <w:tcW w:w="6301" w:type="dxa"/>
                </w:tcPr>
                <w:p w:rsidR="00B337D1" w:rsidRPr="00E774E2" w:rsidRDefault="009477B6" w:rsidP="00E774E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Osposobiti studente</w:t>
                  </w:r>
                  <w:r w:rsidRPr="00E774E2">
                    <w:rPr>
                      <w:sz w:val="22"/>
                      <w:szCs w:val="22"/>
                    </w:rPr>
                    <w:t xml:space="preserve"> za logičko proučavanje, pojašnjavanje, planiranje i predviđanje postojećih i novih odnosa i odraza u </w:t>
                  </w:r>
                  <w:r>
                    <w:rPr>
                      <w:sz w:val="22"/>
                      <w:szCs w:val="22"/>
                    </w:rPr>
                    <w:t>turističkom gospodarstvu</w:t>
                  </w:r>
                  <w:r w:rsidRPr="00E774E2">
                    <w:rPr>
                      <w:sz w:val="22"/>
                      <w:szCs w:val="22"/>
                    </w:rPr>
                    <w:t xml:space="preserve"> nastalih </w:t>
                  </w:r>
                  <w:r>
                    <w:rPr>
                      <w:sz w:val="22"/>
                      <w:szCs w:val="22"/>
                    </w:rPr>
                    <w:t>turističkom valorizacijom</w:t>
                  </w:r>
                  <w:r w:rsidRPr="00E774E2">
                    <w:rPr>
                      <w:sz w:val="22"/>
                      <w:szCs w:val="22"/>
                    </w:rPr>
                    <w:t xml:space="preserve"> prirodno</w:t>
                  </w:r>
                  <w:r>
                    <w:rPr>
                      <w:sz w:val="22"/>
                      <w:szCs w:val="22"/>
                    </w:rPr>
                    <w:t xml:space="preserve"> geografskih i društveno kulturnih resursa s </w:t>
                  </w:r>
                  <w:r w:rsidRPr="00E774E2">
                    <w:rPr>
                      <w:sz w:val="22"/>
                      <w:szCs w:val="22"/>
                    </w:rPr>
                    <w:t xml:space="preserve">ciljem otkrivanja, objašnjavanja, postavljanja i predviđanja </w:t>
                  </w:r>
                  <w:r>
                    <w:rPr>
                      <w:sz w:val="22"/>
                      <w:szCs w:val="22"/>
                    </w:rPr>
                    <w:t xml:space="preserve">djelovanja </w:t>
                  </w:r>
                  <w:r w:rsidRPr="00E774E2">
                    <w:rPr>
                      <w:sz w:val="22"/>
                      <w:szCs w:val="22"/>
                    </w:rPr>
                    <w:t xml:space="preserve">organizacije i funkcioniranja </w:t>
                  </w:r>
                  <w:r>
                    <w:rPr>
                      <w:sz w:val="22"/>
                      <w:szCs w:val="22"/>
                    </w:rPr>
                    <w:t>turističkih atrakcija</w:t>
                  </w:r>
                  <w:r w:rsidRPr="00E774E2">
                    <w:rPr>
                      <w:sz w:val="22"/>
                      <w:szCs w:val="22"/>
                    </w:rPr>
                    <w:t xml:space="preserve"> u skladu s postojećom </w:t>
                  </w:r>
                  <w:r>
                    <w:rPr>
                      <w:sz w:val="22"/>
                      <w:szCs w:val="22"/>
                    </w:rPr>
                    <w:t>organizacijom turističkog gospodarstva na lokalnoj i globalnoj razini.</w:t>
                  </w:r>
                </w:p>
              </w:tc>
            </w:tr>
          </w:tbl>
          <w:p w:rsidR="00EA6C80" w:rsidRPr="00EA6C80" w:rsidRDefault="00EA6C80" w:rsidP="00B337D1">
            <w:pPr>
              <w:spacing w:after="0" w:line="240" w:lineRule="auto"/>
              <w:ind w:right="-210"/>
            </w:pP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Ishodi učenja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9"/>
            </w:tblGrid>
            <w:tr w:rsidR="00E774E2">
              <w:trPr>
                <w:trHeight w:val="1050"/>
              </w:trPr>
              <w:tc>
                <w:tcPr>
                  <w:tcW w:w="6359" w:type="dxa"/>
                </w:tcPr>
                <w:p w:rsidR="009477B6" w:rsidRDefault="009477B6" w:rsidP="009477B6">
                  <w:pPr>
                    <w:pStyle w:val="Default"/>
                    <w:ind w:left="239" w:hanging="23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 Definirati temeljne odrednice resursne osnove</w:t>
                  </w:r>
                </w:p>
                <w:p w:rsidR="009477B6" w:rsidRDefault="009477B6" w:rsidP="009477B6">
                  <w:pPr>
                    <w:pStyle w:val="Default"/>
                    <w:ind w:left="239" w:hanging="23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 Izdvojiti i objasniti osnovna obilježja prirodnih i društvenih resursa  te njihovu valorizaciju u turističke atrakcije</w:t>
                  </w:r>
                </w:p>
                <w:p w:rsidR="009477B6" w:rsidRDefault="009477B6" w:rsidP="009477B6">
                  <w:pPr>
                    <w:pStyle w:val="Default"/>
                    <w:ind w:left="239" w:hanging="23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3. Objasniti odrednice upravljanja turističkim atrakcijama </w:t>
                  </w:r>
                </w:p>
                <w:p w:rsidR="009477B6" w:rsidRDefault="009477B6" w:rsidP="009477B6">
                  <w:pPr>
                    <w:pStyle w:val="Default"/>
                    <w:ind w:left="239" w:hanging="23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 Vrednovati razvoj turističke atrakcije u razvoju sustava cijele destinacije</w:t>
                  </w:r>
                </w:p>
                <w:p w:rsidR="009477B6" w:rsidRDefault="009477B6" w:rsidP="009477B6">
                  <w:pPr>
                    <w:pStyle w:val="Default"/>
                    <w:ind w:left="239" w:hanging="23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5. Smisliti, razviti i stvoriti vlastiti samostalni rad na zadanu temu </w:t>
                  </w:r>
                </w:p>
                <w:p w:rsidR="00046FF5" w:rsidRDefault="00046FF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Sadržaj kolegija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Uvod u menadžment atrakcija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 xml:space="preserve">Klasifikacija turističkih atrakcija </w:t>
            </w:r>
            <w:r>
              <w:t xml:space="preserve"> i uloga </w:t>
            </w:r>
            <w:r w:rsidRPr="00754AF3">
              <w:t>turističkih atrakcija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>
              <w:t>Turističke atrakcije: sagledavanje kao</w:t>
            </w:r>
            <w:r w:rsidRPr="00754AF3">
              <w:t xml:space="preserve"> proizvod, tržište, destinacija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Poslovno okruženje i turistička atraktivnost</w:t>
            </w:r>
          </w:p>
          <w:p w:rsidR="00B4625B" w:rsidRPr="00754AF3" w:rsidRDefault="00B4625B" w:rsidP="00B4625B">
            <w:pPr>
              <w:tabs>
                <w:tab w:val="left" w:pos="720"/>
              </w:tabs>
              <w:suppressAutoHyphens/>
              <w:spacing w:after="0" w:line="240" w:lineRule="auto"/>
              <w:ind w:left="720"/>
              <w:jc w:val="both"/>
            </w:pPr>
            <w:r w:rsidRPr="00754AF3">
              <w:t>Razvojni proces i studije izved</w:t>
            </w:r>
            <w:r w:rsidR="00A1643E">
              <w:t>ivosti</w:t>
            </w:r>
          </w:p>
          <w:p w:rsidR="00B4625B" w:rsidRPr="00754AF3" w:rsidRDefault="00B4625B" w:rsidP="00B4625B">
            <w:pPr>
              <w:tabs>
                <w:tab w:val="left" w:pos="720"/>
              </w:tabs>
              <w:suppressAutoHyphens/>
              <w:spacing w:after="0" w:line="240" w:lineRule="auto"/>
              <w:ind w:left="720"/>
              <w:jc w:val="both"/>
            </w:pPr>
            <w:r w:rsidRPr="00754AF3">
              <w:lastRenderedPageBreak/>
              <w:t>Financiranje i dizajn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Čimbenici utjecaja na uspjeh/neuspjeh atrakcije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Projektni menadžment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Uloga ljudskih resursa u upravljanju atrakcijama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Strateški marketing i uloga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Upravljanje kvalitetom u turističkim atrakcijama</w:t>
            </w:r>
          </w:p>
          <w:p w:rsidR="00B4625B" w:rsidRDefault="00B4625B" w:rsidP="00B4625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</w:pPr>
            <w:r w:rsidRPr="00754AF3">
              <w:t xml:space="preserve">Upravljanje promjenama i planiranje </w:t>
            </w:r>
          </w:p>
          <w:p w:rsidR="00EA6C80" w:rsidRPr="00EA6C80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Dugoročni razvoj i perspektive</w:t>
            </w:r>
          </w:p>
        </w:tc>
      </w:tr>
      <w:tr w:rsidR="00EA6C80" w:rsidRPr="00EA6C80" w:rsidTr="00AC3BBE"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lastRenderedPageBreak/>
              <w:t>Planirane aktivnosti</w:t>
            </w:r>
            <w:r w:rsidRPr="00B337D1">
              <w:rPr>
                <w:lang w:val="it-IT"/>
              </w:rPr>
              <w:t>,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B337D1">
              <w:rPr>
                <w:lang w:val="it-IT"/>
              </w:rPr>
              <w:t xml:space="preserve">metode </w:t>
            </w:r>
            <w:r w:rsidRPr="00EA6C80">
              <w:t>učenja i poučavanja i načini vrednovanja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lang w:val="en-US"/>
              </w:rPr>
              <w:t>(</w:t>
            </w:r>
            <w:proofErr w:type="spellStart"/>
            <w:r w:rsidRPr="00EA6C80">
              <w:rPr>
                <w:lang w:val="en-US"/>
              </w:rPr>
              <w:t>alternativno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stjecanje</w:t>
            </w:r>
            <w:proofErr w:type="spellEnd"/>
            <w:r w:rsidRPr="00EA6C80">
              <w:t xml:space="preserve"> navesti u studentskim obvezama</w:t>
            </w:r>
            <w:r w:rsidRPr="00EA6C80">
              <w:rPr>
                <w:lang w:val="en-US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Obveze</w:t>
            </w:r>
            <w:r w:rsidRPr="00EA6C80">
              <w:rPr>
                <w:b/>
                <w:bCs/>
                <w:lang w:val="en-US"/>
              </w:rPr>
              <w:t xml:space="preserve">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  <w:lang w:val="en-US"/>
              </w:rPr>
              <w:t>(</w:t>
            </w:r>
            <w:proofErr w:type="spellStart"/>
            <w:r w:rsidRPr="00EA6C80">
              <w:rPr>
                <w:b/>
                <w:bCs/>
                <w:lang w:val="en-US"/>
              </w:rPr>
              <w:t>brisati</w:t>
            </w:r>
            <w:proofErr w:type="spellEnd"/>
            <w:r w:rsidRPr="00EA6C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6C80">
              <w:rPr>
                <w:b/>
                <w:bCs/>
                <w:lang w:val="en-US"/>
              </w:rPr>
              <w:t>nepotrebne</w:t>
            </w:r>
            <w:proofErr w:type="spellEnd"/>
            <w:r w:rsidRPr="00EA6C8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A6C80">
              <w:rPr>
                <w:b/>
                <w:bCs/>
                <w:lang w:val="en-US"/>
              </w:rPr>
              <w:t>retke</w:t>
            </w:r>
            <w:proofErr w:type="spellEnd"/>
            <w:r w:rsidRPr="00EA6C80">
              <w:rPr>
                <w:b/>
                <w:bCs/>
                <w:lang w:val="en-US"/>
              </w:rPr>
              <w:t>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Ishodi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(navodi se redni broj)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Sati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Udio u ECTS-u*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Maksimalni udio u ocjeni</w:t>
            </w:r>
            <w:r w:rsidRPr="00EA6C80">
              <w:rPr>
                <w:b/>
                <w:bCs/>
                <w:lang w:val="en-US"/>
              </w:rPr>
              <w:t xml:space="preserve"> (%)</w:t>
            </w:r>
          </w:p>
        </w:tc>
      </w:tr>
      <w:tr w:rsidR="00AC3BBE" w:rsidRPr="00EA6C80" w:rsidTr="00AC3BBE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3BBE" w:rsidRPr="00EA6C80" w:rsidRDefault="00AC3BBE" w:rsidP="00AC3BBE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262A" w:rsidRDefault="00AC3BBE" w:rsidP="00AC3BBE">
            <w:pPr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Pisani rad </w:t>
            </w:r>
          </w:p>
          <w:p w:rsidR="00AC3BBE" w:rsidRPr="00591395" w:rsidRDefault="00AC3BBE" w:rsidP="00AC3BBE">
            <w:pPr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(seminarski rad)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1 </w:t>
            </w:r>
            <w:r w:rsidRPr="00591395">
              <w:rPr>
                <w:rFonts w:ascii="Times New Roman" w:hAnsi="Times New Roman" w:cs="Times New Roman"/>
              </w:rPr>
              <w:sym w:font="Symbol" w:char="F02D"/>
            </w:r>
            <w:r w:rsidRPr="00591395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20%</w:t>
            </w:r>
          </w:p>
        </w:tc>
      </w:tr>
      <w:tr w:rsidR="00AC3BBE" w:rsidRPr="00EA6C80" w:rsidTr="00AC3BBE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3BBE" w:rsidRPr="00EA6C80" w:rsidRDefault="00AC3BBE" w:rsidP="00AC3BBE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225B43" w:rsidRDefault="00AC3BBE" w:rsidP="00AC3B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395">
              <w:rPr>
                <w:rFonts w:ascii="Times New Roman" w:eastAsia="Calibri" w:hAnsi="Times New Roman" w:cs="Times New Roman"/>
              </w:rPr>
              <w:t>Studija slučaja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1 </w:t>
            </w:r>
            <w:r w:rsidRPr="00591395">
              <w:rPr>
                <w:rFonts w:ascii="Times New Roman" w:hAnsi="Times New Roman" w:cs="Times New Roman"/>
              </w:rPr>
              <w:sym w:font="Symbol" w:char="F02D"/>
            </w:r>
            <w:r w:rsidRPr="00591395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20% </w:t>
            </w:r>
          </w:p>
        </w:tc>
      </w:tr>
      <w:tr w:rsidR="00AC3BBE" w:rsidRPr="00EA6C80" w:rsidTr="00AC3BBE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3BBE" w:rsidRPr="00EA6C80" w:rsidRDefault="00AC3BBE" w:rsidP="00AC3BBE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PPT izrada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1 </w:t>
            </w:r>
            <w:r w:rsidRPr="00591395">
              <w:rPr>
                <w:rFonts w:ascii="Times New Roman" w:hAnsi="Times New Roman" w:cs="Times New Roman"/>
              </w:rPr>
              <w:sym w:font="Symbol" w:char="F02D"/>
            </w:r>
            <w:r w:rsidRPr="00591395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10%</w:t>
            </w:r>
          </w:p>
        </w:tc>
      </w:tr>
      <w:tr w:rsidR="00AC3BBE" w:rsidRPr="00EA6C80" w:rsidTr="00AC3BBE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3BBE" w:rsidRPr="00EA6C80" w:rsidRDefault="00AC3BBE" w:rsidP="00AC3BBE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Pisani ispit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1 </w:t>
            </w:r>
            <w:r w:rsidRPr="00591395">
              <w:rPr>
                <w:rFonts w:ascii="Times New Roman" w:hAnsi="Times New Roman" w:cs="Times New Roman"/>
              </w:rPr>
              <w:sym w:font="Symbol" w:char="F02D"/>
            </w:r>
            <w:r w:rsidRPr="00591395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50%</w:t>
            </w:r>
          </w:p>
        </w:tc>
      </w:tr>
      <w:tr w:rsidR="00AC3BBE" w:rsidRPr="00EA6C80" w:rsidTr="00AC3BBE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3BBE" w:rsidRPr="00EA6C80" w:rsidRDefault="00AC3BBE" w:rsidP="00AC3BBE">
            <w:pPr>
              <w:spacing w:after="0" w:line="240" w:lineRule="auto"/>
            </w:pP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1395">
              <w:rPr>
                <w:rFonts w:ascii="Times New Roman" w:hAnsi="Times New Roman" w:cs="Times New Roman"/>
                <w:lang w:val="en-US"/>
              </w:rPr>
              <w:t>ukupno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100</w:t>
            </w:r>
          </w:p>
        </w:tc>
      </w:tr>
      <w:tr w:rsidR="00AC3BBE" w:rsidRPr="00EA6C80" w:rsidTr="00AC3BBE">
        <w:trPr>
          <w:trHeight w:val="1786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noProof/>
                <w:lang w:val="pl-PL"/>
              </w:rPr>
            </w:pPr>
          </w:p>
        </w:tc>
        <w:tc>
          <w:tcPr>
            <w:tcW w:w="6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3BBE" w:rsidRPr="00591395" w:rsidRDefault="00AC3BBE" w:rsidP="00AC3B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Dodatna pojašnjenja (kriteriji ocjenjivanja)</w:t>
            </w: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</w:rPr>
            </w:pP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</w:rPr>
              <w:t xml:space="preserve">Seminarski rad dodjeljuje predmetni </w:t>
            </w:r>
            <w:r>
              <w:rPr>
                <w:rFonts w:ascii="Times New Roman" w:hAnsi="Times New Roman" w:cs="Times New Roman"/>
              </w:rPr>
              <w:t>nastavnik</w:t>
            </w:r>
            <w:r w:rsidRPr="00591395">
              <w:rPr>
                <w:rFonts w:ascii="Times New Roman" w:hAnsi="Times New Roman" w:cs="Times New Roman"/>
              </w:rPr>
              <w:t xml:space="preserve"> i prati ga do njegove finalizacije. Seminarski rad izrađuje se u pisanom obliku prema naputku koji je studentima prezentiran na prvom terminu nastave i objavljen na mrežnim stranicama (e-učenje). </w:t>
            </w: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C3BBE" w:rsidRPr="00591395" w:rsidRDefault="00AC3BBE" w:rsidP="00AC3BBE">
            <w:pPr>
              <w:rPr>
                <w:rFonts w:ascii="Times New Roman" w:hAnsi="Times New Roman" w:cs="Times New Roman"/>
                <w:noProof/>
                <w:lang w:val="es-ES"/>
              </w:rPr>
            </w:pPr>
            <w:r w:rsidRPr="00591395">
              <w:rPr>
                <w:rFonts w:ascii="Times New Roman" w:hAnsi="Times New Roman" w:cs="Times New Roman"/>
                <w:b/>
                <w:noProof/>
                <w:u w:val="single"/>
                <w:lang w:val="pl-PL"/>
              </w:rPr>
              <w:t>Seminarski rad</w:t>
            </w:r>
            <w:r w:rsidRPr="00591395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>ocjenjuje</w:t>
            </w:r>
            <w:r w:rsidRPr="00591395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>se</w:t>
            </w:r>
            <w:r w:rsidRPr="00591395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>ovako</w:t>
            </w:r>
            <w:r w:rsidRPr="00591395">
              <w:rPr>
                <w:rFonts w:ascii="Times New Roman" w:hAnsi="Times New Roman" w:cs="Times New Roman"/>
                <w:noProof/>
                <w:lang w:val="es-ES"/>
              </w:rPr>
              <w:t>:</w:t>
            </w:r>
          </w:p>
          <w:p w:rsidR="00AC3BBE" w:rsidRPr="00591395" w:rsidRDefault="00AC3BBE" w:rsidP="00AC3BBE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591395">
              <w:rPr>
                <w:rFonts w:ascii="Times New Roman" w:hAnsi="Times New Roman" w:cs="Times New Roman"/>
                <w:noProof/>
                <w:lang w:val="es-ES"/>
              </w:rPr>
              <w:t xml:space="preserve">0% = 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>Student/studentica nije napravio/la seminarski rad</w:t>
            </w:r>
          </w:p>
          <w:p w:rsidR="00AC3BBE" w:rsidRPr="00591395" w:rsidRDefault="00AC3BBE" w:rsidP="00AC3BBE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591395">
              <w:rPr>
                <w:rFonts w:ascii="Times New Roman" w:hAnsi="Times New Roman" w:cs="Times New Roman"/>
                <w:noProof/>
                <w:lang w:val="es-ES"/>
              </w:rPr>
              <w:t xml:space="preserve">5% = 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>Student/studentica nije napravio/la seminarski rad, ali dolazi na konzultacije sa prijedlozima nacrta istraživanja te metodologijom izrade</w:t>
            </w:r>
          </w:p>
          <w:p w:rsidR="00AC3BBE" w:rsidRPr="00591395" w:rsidRDefault="00AC3BBE" w:rsidP="00AC3BBE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591395">
              <w:rPr>
                <w:rFonts w:ascii="Times New Roman" w:hAnsi="Times New Roman" w:cs="Times New Roman"/>
                <w:noProof/>
                <w:lang w:val="es-ES"/>
              </w:rPr>
              <w:t xml:space="preserve">10% = 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 xml:space="preserve">Student/studentica napravio/la seminarski rad (loše kvalitete) </w:t>
            </w:r>
          </w:p>
          <w:p w:rsidR="00AC3BBE" w:rsidRPr="00591395" w:rsidRDefault="00AC3BBE" w:rsidP="00AC3BBE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591395">
              <w:rPr>
                <w:rFonts w:ascii="Times New Roman" w:hAnsi="Times New Roman" w:cs="Times New Roman"/>
                <w:noProof/>
                <w:lang w:val="es-ES"/>
              </w:rPr>
              <w:t xml:space="preserve">15% = 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>Student/studentica napravio/la seminarski rad (srednje kvalitete)</w:t>
            </w:r>
          </w:p>
          <w:p w:rsidR="00AC3BBE" w:rsidRPr="00591395" w:rsidRDefault="00AC3BBE" w:rsidP="00AC3BBE">
            <w:pPr>
              <w:ind w:left="900" w:hanging="540"/>
              <w:rPr>
                <w:rFonts w:ascii="Times New Roman" w:hAnsi="Times New Roman" w:cs="Times New Roman"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  <w:noProof/>
                <w:lang w:val="es-ES"/>
              </w:rPr>
              <w:t>20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 xml:space="preserve">% = Student/studentica napravio/la seminarski rad (visoke kvalitete) </w:t>
            </w:r>
          </w:p>
          <w:p w:rsidR="00AC3BBE" w:rsidRPr="00591395" w:rsidRDefault="00AC3BBE" w:rsidP="00AC3BBE">
            <w:pPr>
              <w:rPr>
                <w:rFonts w:ascii="Times New Roman" w:hAnsi="Times New Roman" w:cs="Times New Roman"/>
                <w:b/>
                <w:bCs/>
                <w:noProof/>
                <w:u w:val="single"/>
                <w:lang w:val="pl-PL"/>
              </w:rPr>
            </w:pP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</w:rPr>
              <w:t xml:space="preserve">Student je dužan provesti </w:t>
            </w:r>
            <w:r w:rsidRPr="00AC3BBE">
              <w:rPr>
                <w:rFonts w:ascii="Times New Roman" w:hAnsi="Times New Roman" w:cs="Times New Roman"/>
              </w:rPr>
              <w:t>samostalno istraživanje</w:t>
            </w:r>
            <w:r w:rsidRPr="0059139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(studija slučaja) temeljen</w:t>
            </w:r>
            <w:r w:rsidRPr="00591395">
              <w:rPr>
                <w:rFonts w:ascii="Times New Roman" w:hAnsi="Times New Roman" w:cs="Times New Roman"/>
              </w:rPr>
              <w:t xml:space="preserve">o na </w:t>
            </w:r>
            <w:r w:rsidRPr="00AC3BBE">
              <w:rPr>
                <w:rFonts w:ascii="Times New Roman" w:hAnsi="Times New Roman" w:cs="Times New Roman"/>
              </w:rPr>
              <w:t>problematici turizma (ugostiteljstva)</w:t>
            </w:r>
            <w:r w:rsidRPr="00591395">
              <w:rPr>
                <w:rFonts w:ascii="Times New Roman" w:hAnsi="Times New Roman" w:cs="Times New Roman"/>
              </w:rPr>
              <w:t xml:space="preserve"> i dužan ju je predati </w:t>
            </w:r>
            <w:r>
              <w:rPr>
                <w:rFonts w:ascii="Times New Roman" w:hAnsi="Times New Roman" w:cs="Times New Roman"/>
              </w:rPr>
              <w:t>predmetnom nastavniku</w:t>
            </w:r>
            <w:r w:rsidRPr="00591395">
              <w:rPr>
                <w:rFonts w:ascii="Times New Roman" w:hAnsi="Times New Roman" w:cs="Times New Roman"/>
              </w:rPr>
              <w:t xml:space="preserve"> u pisanom obliku. Slučaj za studiju dodjeljuje predmetni </w:t>
            </w:r>
            <w:r>
              <w:rPr>
                <w:rFonts w:ascii="Times New Roman" w:hAnsi="Times New Roman" w:cs="Times New Roman"/>
              </w:rPr>
              <w:t>nastavnik.</w:t>
            </w:r>
            <w:r w:rsidRPr="00591395">
              <w:rPr>
                <w:rFonts w:ascii="Times New Roman" w:hAnsi="Times New Roman" w:cs="Times New Roman"/>
              </w:rPr>
              <w:t xml:space="preserve"> Ovaj dio aktivnosti podrazumijeva kvalitetu obrade problematike i konzultacije. U slučaju ozbiljnijih nepravilnosti pripremljena vježba šalje se na doradu prema uputama. Student je dužan </w:t>
            </w:r>
            <w:r w:rsidRPr="00591395">
              <w:rPr>
                <w:rFonts w:ascii="Times New Roman" w:hAnsi="Times New Roman" w:cs="Times New Roman"/>
              </w:rPr>
              <w:lastRenderedPageBreak/>
              <w:t xml:space="preserve">predati pisanu vježbu najkasnije dva tjedna prije planirane prijave završnog ispita. </w:t>
            </w: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</w:rPr>
            </w:pPr>
          </w:p>
          <w:p w:rsidR="00AC3BBE" w:rsidRPr="00591395" w:rsidRDefault="00AC3BBE" w:rsidP="00AC3BBE">
            <w:pPr>
              <w:rPr>
                <w:rFonts w:ascii="Times New Roman" w:hAnsi="Times New Roman" w:cs="Times New Roman"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  <w:b/>
                <w:bCs/>
                <w:noProof/>
                <w:u w:val="single"/>
                <w:lang w:val="pl-PL"/>
              </w:rPr>
              <w:t xml:space="preserve">Samostalno istraživanje </w:t>
            </w:r>
            <w:r w:rsidRPr="00591395">
              <w:rPr>
                <w:rFonts w:ascii="Times New Roman" w:hAnsi="Times New Roman" w:cs="Times New Roman"/>
                <w:noProof/>
                <w:lang w:val="pl-PL"/>
              </w:rPr>
              <w:t>(studija slučaja):</w:t>
            </w:r>
          </w:p>
          <w:p w:rsidR="00AC3BBE" w:rsidRPr="00591395" w:rsidRDefault="00AC3BBE" w:rsidP="00AC3BBE">
            <w:pPr>
              <w:rPr>
                <w:rFonts w:ascii="Times New Roman" w:hAnsi="Times New Roman" w:cs="Times New Roman"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  <w:noProof/>
                <w:lang w:val="pl-PL"/>
              </w:rPr>
              <w:t>0% - 9,9% = Student/studentica napravio/la istraživačku vježbu (niže kvalitete)</w:t>
            </w:r>
          </w:p>
          <w:p w:rsidR="00AC3BBE" w:rsidRPr="00591395" w:rsidRDefault="00AC3BBE" w:rsidP="00AC3BBE">
            <w:pPr>
              <w:rPr>
                <w:rFonts w:ascii="Times New Roman" w:hAnsi="Times New Roman" w:cs="Times New Roman"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  <w:noProof/>
                <w:lang w:val="pl-PL"/>
              </w:rPr>
              <w:t>10% - 20% = Student/studentica napravio/la istraživački rad (više kvalitete)</w:t>
            </w:r>
          </w:p>
          <w:p w:rsidR="00AC3BBE" w:rsidRPr="00591395" w:rsidRDefault="00AC3BBE" w:rsidP="00AC3BBE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AC3BBE" w:rsidRPr="00591395" w:rsidRDefault="00AC3BBE" w:rsidP="00AC3BBE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591395">
              <w:rPr>
                <w:rFonts w:ascii="Times New Roman" w:hAnsi="Times New Roman" w:cs="Times New Roman"/>
                <w:b/>
                <w:u w:val="single"/>
              </w:rPr>
              <w:t>PPT izrada:</w:t>
            </w: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Student je dužan uz seminarski rad priložiti PPT koja je odraz istraživanja koje je provedeno (uvod, razrada problematike, zaključci/limitacije istraživanja).</w:t>
            </w: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  <w:noProof/>
                <w:lang w:val="pl-PL"/>
              </w:rPr>
              <w:t>0% - 5% = Student/studentica izradio/la PPT (niže kvalitete)</w:t>
            </w: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  <w:noProof/>
                <w:lang w:val="pl-PL"/>
              </w:rPr>
              <w:t>5% -10% = Student/studentica izradio/la PPT (više kvalitete)</w:t>
            </w: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91395">
              <w:rPr>
                <w:rFonts w:ascii="Times New Roman" w:hAnsi="Times New Roman" w:cs="Times New Roman"/>
                <w:noProof/>
              </w:rPr>
              <w:t>Aktivnosti koje se ostvaruju tijekom semestra (u tekućoj ak.god.) priznaju se najdulje do isteka sljedeće akademske godine.</w:t>
            </w: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  <w:noProof/>
              </w:rPr>
              <w:t>Konačna ocjena iz kolegija izvodi se temeljem ukupno ostvarenog vrednovanja rada studenta koji za istog tablično vodi predmetna nastavnica.</w:t>
            </w: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noProof/>
                <w:lang w:val="es-ES"/>
              </w:rPr>
            </w:pPr>
            <w:r w:rsidRPr="00591395">
              <w:rPr>
                <w:rFonts w:ascii="Times New Roman" w:hAnsi="Times New Roman" w:cs="Times New Roman"/>
                <w:b/>
                <w:noProof/>
                <w:u w:val="single"/>
              </w:rPr>
              <w:t>Završni ispit:</w:t>
            </w:r>
            <w:r w:rsidRPr="00591395">
              <w:rPr>
                <w:rFonts w:ascii="Times New Roman" w:hAnsi="Times New Roman" w:cs="Times New Roman"/>
                <w:noProof/>
              </w:rPr>
              <w:t xml:space="preserve"> </w:t>
            </w:r>
            <w:r w:rsidRPr="00591395">
              <w:rPr>
                <w:rFonts w:ascii="Times New Roman" w:hAnsi="Times New Roman" w:cs="Times New Roman"/>
                <w:noProof/>
                <w:lang w:val="es-ES"/>
              </w:rPr>
              <w:t xml:space="preserve">Ispit se ocjenjuje prema proporcionalnom postotku (Pravilnik o ocjenivanju UNIPU). </w:t>
            </w: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591395">
              <w:rPr>
                <w:rFonts w:ascii="Times New Roman" w:hAnsi="Times New Roman" w:cs="Times New Roman"/>
                <w:noProof/>
              </w:rPr>
              <w:t>Aktivnosti koje se ostvaruju tijekom semestra (u tekućoj ak.god.) priznaju se najdulje do isteka sljedeće akademske godine.</w:t>
            </w:r>
          </w:p>
          <w:p w:rsidR="00AC3BBE" w:rsidRPr="00591395" w:rsidRDefault="00AC3BBE" w:rsidP="00AC3BBE">
            <w:pPr>
              <w:jc w:val="both"/>
              <w:rPr>
                <w:rFonts w:ascii="Times New Roman" w:hAnsi="Times New Roman" w:cs="Times New Roman"/>
                <w:noProof/>
                <w:lang w:val="pl-PL"/>
              </w:rPr>
            </w:pPr>
            <w:r w:rsidRPr="00591395">
              <w:rPr>
                <w:rFonts w:ascii="Times New Roman" w:hAnsi="Times New Roman" w:cs="Times New Roman"/>
                <w:noProof/>
              </w:rPr>
              <w:t>Konačna ocjena iz kolegija izvodi se temeljem ukupno ostvarenog vrednovanja rada studenta koji za istog tablično vodi predmetna nastavnica.</w:t>
            </w:r>
          </w:p>
        </w:tc>
      </w:tr>
      <w:tr w:rsidR="00AC3BBE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3BBE" w:rsidRPr="00EA6C80" w:rsidRDefault="00AC3BBE" w:rsidP="00AC3BBE">
            <w:pPr>
              <w:spacing w:after="0" w:line="240" w:lineRule="auto"/>
            </w:pPr>
            <w:r w:rsidRPr="00EA6C80">
              <w:lastRenderedPageBreak/>
              <w:t>Studentske obveze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Da položi kolegij, student/studentica mora:</w:t>
            </w: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1. </w:t>
            </w:r>
            <w:r w:rsidRPr="00591395">
              <w:rPr>
                <w:rFonts w:ascii="Times New Roman" w:hAnsi="Times New Roman" w:cs="Times New Roman"/>
                <w:i/>
              </w:rPr>
              <w:t>Napisati cjelovit seminarski rad</w:t>
            </w:r>
            <w:r w:rsidRPr="00591395">
              <w:rPr>
                <w:rFonts w:ascii="Times New Roman" w:hAnsi="Times New Roman" w:cs="Times New Roman"/>
              </w:rPr>
              <w:t xml:space="preserve">. Rad dodjeljuje predmetni </w:t>
            </w:r>
            <w:r>
              <w:rPr>
                <w:rFonts w:ascii="Times New Roman" w:hAnsi="Times New Roman" w:cs="Times New Roman"/>
              </w:rPr>
              <w:t>nastavnik</w:t>
            </w:r>
            <w:r w:rsidRPr="00591395">
              <w:rPr>
                <w:rFonts w:ascii="Times New Roman" w:hAnsi="Times New Roman" w:cs="Times New Roman"/>
              </w:rPr>
              <w:t xml:space="preserve">. Rok za predaju finalne verzije rada (elektronski oblik) je najkasnije tjedan dana prije planirane prijave pisanog ispita. Finalni rad mora biti prethodno odobren od strane predmetnog </w:t>
            </w:r>
            <w:r>
              <w:rPr>
                <w:rFonts w:ascii="Times New Roman" w:hAnsi="Times New Roman" w:cs="Times New Roman"/>
              </w:rPr>
              <w:t>nastavnika</w:t>
            </w:r>
            <w:r w:rsidRPr="00591395">
              <w:rPr>
                <w:rFonts w:ascii="Times New Roman" w:hAnsi="Times New Roman" w:cs="Times New Roman"/>
              </w:rPr>
              <w:t xml:space="preserve"> (hipoteze, nacrt istraživanja), te se isti donosi u tiskanom obliku na prijavljeni ispitni rok. Bez istog se ispitnom roku ne može pristupiti.</w:t>
            </w: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2. </w:t>
            </w:r>
            <w:r w:rsidRPr="00591395">
              <w:rPr>
                <w:rFonts w:ascii="Times New Roman" w:hAnsi="Times New Roman" w:cs="Times New Roman"/>
                <w:i/>
              </w:rPr>
              <w:t xml:space="preserve">Pripremiti </w:t>
            </w:r>
            <w:r w:rsidRPr="00591395">
              <w:rPr>
                <w:rFonts w:ascii="Times New Roman" w:hAnsi="Times New Roman" w:cs="Times New Roman"/>
              </w:rPr>
              <w:t>PPT kao integrirani dio seminarskog rada.</w:t>
            </w: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 xml:space="preserve">3. </w:t>
            </w:r>
            <w:r w:rsidRPr="00591395">
              <w:rPr>
                <w:rFonts w:ascii="Times New Roman" w:hAnsi="Times New Roman" w:cs="Times New Roman"/>
                <w:i/>
              </w:rPr>
              <w:t>Izraditi</w:t>
            </w:r>
            <w:r w:rsidRPr="00591395">
              <w:rPr>
                <w:rFonts w:ascii="Times New Roman" w:hAnsi="Times New Roman" w:cs="Times New Roman"/>
              </w:rPr>
              <w:t xml:space="preserve"> studiju slučaja kao dio samostalnog istraživanja, a koja se vezuje uz obrađenu temu seminarskog rada (iz iste domene). Rok za predaju rada isti kao i za seminarski rad. </w:t>
            </w:r>
          </w:p>
          <w:p w:rsidR="00AC3BBE" w:rsidRPr="00EA6C80" w:rsidRDefault="00AC3BBE" w:rsidP="00AC3BBE">
            <w:pPr>
              <w:spacing w:after="0" w:line="240" w:lineRule="auto"/>
              <w:jc w:val="both"/>
            </w:pPr>
            <w:r w:rsidRPr="00591395">
              <w:rPr>
                <w:rFonts w:ascii="Times New Roman" w:hAnsi="Times New Roman" w:cs="Times New Roman"/>
              </w:rPr>
              <w:t xml:space="preserve">4. Izaći </w:t>
            </w:r>
            <w:r w:rsidRPr="00591395">
              <w:rPr>
                <w:rFonts w:ascii="Times New Roman" w:hAnsi="Times New Roman" w:cs="Times New Roman"/>
                <w:i/>
              </w:rPr>
              <w:t>na pismeni ispit</w:t>
            </w:r>
            <w:r w:rsidRPr="00591395">
              <w:rPr>
                <w:rFonts w:ascii="Times New Roman" w:hAnsi="Times New Roman" w:cs="Times New Roman"/>
              </w:rPr>
              <w:t>.</w:t>
            </w:r>
          </w:p>
        </w:tc>
      </w:tr>
      <w:tr w:rsidR="00AC3BBE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3BBE" w:rsidRPr="00EA6C80" w:rsidRDefault="00AC3BBE" w:rsidP="00AC3BBE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lastRenderedPageBreak/>
              <w:t>Rokovi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ispita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kolokvija</w:t>
            </w:r>
            <w:proofErr w:type="spellEnd"/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3BBE" w:rsidRPr="00624461" w:rsidRDefault="00AC3BBE" w:rsidP="00AC3BBE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Objavljuju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početku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akademske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mrežnim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stranicama</w:t>
            </w:r>
            <w:proofErr w:type="spellEnd"/>
            <w:r>
              <w:rPr>
                <w:lang w:val="en-US"/>
              </w:rPr>
              <w:t xml:space="preserve"> FET – a 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u ISVU.</w:t>
            </w:r>
          </w:p>
        </w:tc>
      </w:tr>
      <w:tr w:rsidR="00AC3BBE" w:rsidRPr="00EA6C80" w:rsidTr="00AC3BBE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3BBE" w:rsidRPr="00EA6C80" w:rsidRDefault="00AC3BBE" w:rsidP="00AC3BBE">
            <w:pPr>
              <w:spacing w:after="0" w:line="240" w:lineRule="auto"/>
            </w:pPr>
            <w:r w:rsidRPr="00EA6C80">
              <w:t xml:space="preserve">Ostale važne činjenice </w:t>
            </w:r>
            <w:r w:rsidRPr="00B337D1">
              <w:rPr>
                <w:lang w:val="it-IT"/>
              </w:rPr>
              <w:t>vezane uz kolegij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Svi materijali sa predavanja dostupni su studentima na portalu za e-učenje gdje se objavljuju i rezultati kolokvija.</w:t>
            </w:r>
          </w:p>
          <w:p w:rsidR="00AC3BBE" w:rsidRPr="00591395" w:rsidRDefault="00AC3BBE" w:rsidP="00AC3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C3BBE" w:rsidRDefault="00AC3BBE" w:rsidP="00AC3BBE">
            <w:pPr>
              <w:pStyle w:val="Default"/>
              <w:rPr>
                <w:rFonts w:ascii="Times New Roman" w:hAnsi="Times New Roman" w:cs="Times New Roman"/>
              </w:rPr>
            </w:pPr>
            <w:r w:rsidRPr="00591395">
              <w:rPr>
                <w:rFonts w:ascii="Times New Roman" w:hAnsi="Times New Roman" w:cs="Times New Roman"/>
              </w:rPr>
              <w:t>Narušavanje etičkog kodeksa kažnjava se nemogućnošću ostvarivanja bodova na nastavi i/ili na ispitu.</w:t>
            </w:r>
          </w:p>
          <w:p w:rsidR="00121B17" w:rsidRDefault="00121B17" w:rsidP="00AC3BBE">
            <w:pPr>
              <w:pStyle w:val="Default"/>
              <w:rPr>
                <w:rFonts w:ascii="Times New Roman" w:hAnsi="Times New Roman" w:cs="Times New Roman"/>
              </w:rPr>
            </w:pPr>
          </w:p>
          <w:p w:rsidR="00121B17" w:rsidRPr="00EA6C80" w:rsidRDefault="00121B17" w:rsidP="00AC3BBE">
            <w:pPr>
              <w:pStyle w:val="Default"/>
            </w:pPr>
            <w:r>
              <w:rPr>
                <w:rFonts w:ascii="Times New Roman" w:hAnsi="Times New Roman" w:cs="Times New Roman"/>
              </w:rPr>
              <w:t>Dolasci nisu obavezni</w:t>
            </w:r>
            <w:bookmarkStart w:id="0" w:name="_GoBack"/>
            <w:bookmarkEnd w:id="0"/>
          </w:p>
        </w:tc>
      </w:tr>
      <w:tr w:rsidR="00AC3BBE" w:rsidRPr="00EA6C80" w:rsidTr="00AC3BBE">
        <w:trPr>
          <w:trHeight w:val="770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C3BBE" w:rsidRPr="000B5E88" w:rsidRDefault="00AC3BBE" w:rsidP="00AC3BBE">
            <w:pPr>
              <w:spacing w:after="0" w:line="240" w:lineRule="auto"/>
            </w:pPr>
            <w:r w:rsidRPr="000B5E88">
              <w:t>Literatura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669D3" w:rsidRDefault="005669D3" w:rsidP="005669D3">
            <w:pPr>
              <w:spacing w:after="0" w:line="240" w:lineRule="auto"/>
            </w:pPr>
            <w:r w:rsidRPr="000B5E88">
              <w:t xml:space="preserve">Obvezna: </w:t>
            </w:r>
          </w:p>
          <w:p w:rsidR="005669D3" w:rsidRDefault="005669D3" w:rsidP="005669D3">
            <w:pPr>
              <w:spacing w:after="0" w:line="240" w:lineRule="auto"/>
            </w:pP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Gržinić, J. (2020), Turističke atrakcije - nastanak, razvoj utjecaji (282 str.)</w:t>
            </w:r>
          </w:p>
          <w:p w:rsidR="005669D3" w:rsidRPr="000B5E88" w:rsidRDefault="005669D3" w:rsidP="005669D3">
            <w:pPr>
              <w:pStyle w:val="NormalWeb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PPT materijali koji prate udžbenik i dostupni su putem e-učenja. </w:t>
            </w:r>
          </w:p>
          <w:p w:rsidR="005669D3" w:rsidRDefault="005669D3" w:rsidP="005669D3">
            <w:pPr>
              <w:spacing w:after="0" w:line="240" w:lineRule="auto"/>
            </w:pPr>
            <w:r w:rsidRPr="000B5E88">
              <w:t>Izborna:</w:t>
            </w:r>
          </w:p>
          <w:p w:rsidR="005669D3" w:rsidRPr="000B5E88" w:rsidRDefault="005669D3" w:rsidP="005669D3">
            <w:pPr>
              <w:spacing w:after="0" w:line="240" w:lineRule="auto"/>
            </w:pP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 w:rsidRPr="000B5E88">
              <w:rPr>
                <w:rFonts w:cs="Times New Roman"/>
                <w:bCs/>
              </w:rPr>
              <w:t>Richards</w:t>
            </w:r>
            <w:proofErr w:type="spellEnd"/>
            <w:r w:rsidRPr="000B5E88">
              <w:rPr>
                <w:rFonts w:cs="Times New Roman"/>
                <w:bCs/>
              </w:rPr>
              <w:t xml:space="preserve">, B. (1997),  </w:t>
            </w:r>
            <w:r w:rsidRPr="000B5E88">
              <w:rPr>
                <w:rFonts w:cs="Times New Roman"/>
                <w:bCs/>
                <w:i/>
              </w:rPr>
              <w:t>Marketing turističkih atrakcija, festivala i posebnih događanja</w:t>
            </w:r>
            <w:r w:rsidRPr="000B5E88">
              <w:rPr>
                <w:rFonts w:cs="Times New Roman"/>
                <w:bCs/>
              </w:rPr>
              <w:t xml:space="preserve">. Zagreb : </w:t>
            </w:r>
            <w:proofErr w:type="spellStart"/>
            <w:r w:rsidRPr="000B5E88">
              <w:rPr>
                <w:rFonts w:cs="Times New Roman"/>
                <w:bCs/>
              </w:rPr>
              <w:t>Potecon</w:t>
            </w:r>
            <w:proofErr w:type="spellEnd"/>
            <w:r w:rsidRPr="000B5E88">
              <w:rPr>
                <w:rFonts w:cs="Times New Roman"/>
                <w:bCs/>
              </w:rPr>
              <w:t>.</w:t>
            </w:r>
          </w:p>
          <w:p w:rsidR="005669D3" w:rsidRPr="000B5E88" w:rsidRDefault="005669D3" w:rsidP="005669D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Swarbrooke</w:t>
            </w:r>
            <w:proofErr w:type="spellEnd"/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, J. (2002) </w:t>
            </w:r>
            <w:proofErr w:type="spellStart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The</w:t>
            </w:r>
            <w:proofErr w:type="spellEnd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 xml:space="preserve"> development </w:t>
            </w:r>
            <w:proofErr w:type="spellStart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and</w:t>
            </w:r>
            <w:proofErr w:type="spellEnd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 xml:space="preserve"> management </w:t>
            </w:r>
            <w:proofErr w:type="spellStart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of</w:t>
            </w:r>
            <w:proofErr w:type="spellEnd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visitor</w:t>
            </w:r>
            <w:proofErr w:type="spellEnd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attractions</w:t>
            </w:r>
            <w:proofErr w:type="spellEnd"/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Butterworth-Heinemann</w:t>
            </w:r>
            <w:proofErr w:type="spellEnd"/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.</w:t>
            </w: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Jelinčić, D.A. (2010), </w:t>
            </w:r>
            <w:r w:rsidRPr="000B5E88">
              <w:rPr>
                <w:rFonts w:cs="Times New Roman"/>
                <w:bCs/>
                <w:i/>
              </w:rPr>
              <w:t>Kultura u izlogu</w:t>
            </w:r>
            <w:r w:rsidRPr="000B5E88">
              <w:rPr>
                <w:rFonts w:cs="Times New Roman"/>
                <w:bCs/>
              </w:rPr>
              <w:t xml:space="preserve">, </w:t>
            </w:r>
            <w:proofErr w:type="spellStart"/>
            <w:r w:rsidRPr="000B5E88">
              <w:rPr>
                <w:rFonts w:cs="Times New Roman"/>
                <w:bCs/>
              </w:rPr>
              <w:t>Intermedia</w:t>
            </w:r>
            <w:proofErr w:type="spellEnd"/>
            <w:r w:rsidRPr="000B5E88">
              <w:rPr>
                <w:rFonts w:cs="Times New Roman"/>
                <w:bCs/>
              </w:rPr>
              <w:t>, Zagreb.</w:t>
            </w: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 w:rsidRPr="000B5E88">
              <w:rPr>
                <w:rFonts w:cs="Times New Roman"/>
                <w:bCs/>
              </w:rPr>
              <w:t>Čavlek</w:t>
            </w:r>
            <w:proofErr w:type="spellEnd"/>
            <w:r w:rsidRPr="000B5E88">
              <w:rPr>
                <w:rFonts w:cs="Times New Roman"/>
                <w:bCs/>
              </w:rPr>
              <w:t xml:space="preserve">, N. </w:t>
            </w:r>
            <w:proofErr w:type="spellStart"/>
            <w:r w:rsidRPr="000B5E88">
              <w:rPr>
                <w:rFonts w:cs="Times New Roman"/>
                <w:bCs/>
              </w:rPr>
              <w:t>et</w:t>
            </w:r>
            <w:proofErr w:type="spellEnd"/>
            <w:r w:rsidRPr="000B5E88">
              <w:rPr>
                <w:rFonts w:cs="Times New Roman"/>
                <w:bCs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</w:rPr>
              <w:t>al</w:t>
            </w:r>
            <w:proofErr w:type="spellEnd"/>
            <w:r w:rsidRPr="000B5E88">
              <w:rPr>
                <w:rFonts w:cs="Times New Roman"/>
                <w:bCs/>
              </w:rPr>
              <w:t xml:space="preserve">. (2011), </w:t>
            </w:r>
            <w:r w:rsidRPr="000B5E88">
              <w:rPr>
                <w:rFonts w:cs="Times New Roman"/>
                <w:bCs/>
                <w:i/>
              </w:rPr>
              <w:t>Turizam-ekonomske osnove i organizacijski sustav</w:t>
            </w:r>
            <w:r w:rsidRPr="000B5E88">
              <w:rPr>
                <w:rFonts w:cs="Times New Roman"/>
                <w:bCs/>
              </w:rPr>
              <w:t>, Školska knjiga, Zagreb.</w:t>
            </w: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>Dulčić, A.</w:t>
            </w:r>
            <w:r>
              <w:rPr>
                <w:rFonts w:cs="Times New Roman"/>
                <w:bCs/>
              </w:rPr>
              <w:t xml:space="preserve">, (2001), </w:t>
            </w:r>
            <w:r w:rsidRPr="000B5E88">
              <w:rPr>
                <w:rFonts w:cs="Times New Roman"/>
                <w:bCs/>
              </w:rPr>
              <w:t xml:space="preserve"> </w:t>
            </w:r>
            <w:r w:rsidRPr="000B5E88">
              <w:rPr>
                <w:rFonts w:cs="Times New Roman"/>
                <w:bCs/>
                <w:i/>
              </w:rPr>
              <w:t>Upravljanje razvojem turizma</w:t>
            </w:r>
            <w:r w:rsidRPr="000B5E88">
              <w:rPr>
                <w:rFonts w:cs="Times New Roman"/>
                <w:bCs/>
              </w:rPr>
              <w:t>. Zagreb: Mate</w:t>
            </w:r>
            <w:r>
              <w:rPr>
                <w:rFonts w:cs="Times New Roman"/>
                <w:bCs/>
              </w:rPr>
              <w:t xml:space="preserve"> d.o.o.</w:t>
            </w: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 w:rsidRPr="000B5E88">
              <w:rPr>
                <w:rFonts w:cs="Times New Roman"/>
                <w:bCs/>
              </w:rPr>
              <w:t>Geić</w:t>
            </w:r>
            <w:proofErr w:type="spellEnd"/>
            <w:r w:rsidRPr="000B5E88">
              <w:rPr>
                <w:rFonts w:cs="Times New Roman"/>
                <w:bCs/>
              </w:rPr>
              <w:t xml:space="preserve">, S. (2002), </w:t>
            </w:r>
            <w:r w:rsidRPr="000B5E88">
              <w:rPr>
                <w:rFonts w:cs="Times New Roman"/>
                <w:bCs/>
                <w:i/>
              </w:rPr>
              <w:t>Turizam i kulturno-civilizacijsko naslijeđe</w:t>
            </w:r>
            <w:r w:rsidRPr="000B5E88">
              <w:rPr>
                <w:rFonts w:cs="Times New Roman"/>
                <w:bCs/>
              </w:rPr>
              <w:t>, Split : Veleučilište.</w:t>
            </w: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 w:rsidRPr="000B5E88">
              <w:rPr>
                <w:rFonts w:cs="Times New Roman"/>
                <w:bCs/>
              </w:rPr>
              <w:t>Vukonić</w:t>
            </w:r>
            <w:proofErr w:type="spellEnd"/>
            <w:r w:rsidRPr="000B5E88">
              <w:rPr>
                <w:rFonts w:cs="Times New Roman"/>
                <w:bCs/>
              </w:rPr>
              <w:t>, B. i K. Keča,</w:t>
            </w:r>
            <w:r>
              <w:rPr>
                <w:rFonts w:cs="Times New Roman"/>
                <w:bCs/>
              </w:rPr>
              <w:t>(2002)</w:t>
            </w:r>
            <w:r w:rsidRPr="000B5E88">
              <w:rPr>
                <w:rFonts w:cs="Times New Roman"/>
                <w:bCs/>
              </w:rPr>
              <w:t xml:space="preserve"> </w:t>
            </w:r>
            <w:r w:rsidRPr="000B5E88">
              <w:rPr>
                <w:rFonts w:cs="Times New Roman"/>
                <w:bCs/>
                <w:i/>
              </w:rPr>
              <w:t>Turizam i razvoj – pojam, načela i postupci</w:t>
            </w:r>
            <w:r w:rsidRPr="000B5E88">
              <w:rPr>
                <w:rFonts w:cs="Times New Roman"/>
                <w:bCs/>
              </w:rPr>
              <w:t xml:space="preserve">, Ekonomski fakultet, Zagreb : </w:t>
            </w:r>
            <w:proofErr w:type="spellStart"/>
            <w:r w:rsidRPr="000B5E88">
              <w:rPr>
                <w:rFonts w:cs="Times New Roman"/>
                <w:bCs/>
              </w:rPr>
              <w:t>Mikrorad</w:t>
            </w:r>
            <w:proofErr w:type="spellEnd"/>
            <w:r w:rsidRPr="000B5E88">
              <w:rPr>
                <w:rFonts w:cs="Times New Roman"/>
                <w:bCs/>
              </w:rPr>
              <w:t>, Zagreb</w:t>
            </w: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proofErr w:type="spellStart"/>
            <w:r w:rsidRPr="000B5E88">
              <w:rPr>
                <w:rFonts w:cs="Times New Roman"/>
                <w:bCs/>
              </w:rPr>
              <w:t>Richards</w:t>
            </w:r>
            <w:proofErr w:type="spellEnd"/>
            <w:r w:rsidRPr="000B5E88">
              <w:rPr>
                <w:rFonts w:cs="Times New Roman"/>
                <w:bCs/>
              </w:rPr>
              <w:t xml:space="preserve">, G. (2001), </w:t>
            </w:r>
            <w:proofErr w:type="spellStart"/>
            <w:r w:rsidRPr="000B5E88">
              <w:rPr>
                <w:rFonts w:cs="Times New Roman"/>
                <w:bCs/>
                <w:i/>
              </w:rPr>
              <w:t>Cultural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attractions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and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European </w:t>
            </w:r>
            <w:proofErr w:type="spellStart"/>
            <w:r w:rsidRPr="000B5E88">
              <w:rPr>
                <w:rFonts w:cs="Times New Roman"/>
                <w:bCs/>
                <w:i/>
              </w:rPr>
              <w:t>tourism</w:t>
            </w:r>
            <w:proofErr w:type="spellEnd"/>
            <w:r w:rsidRPr="000B5E88">
              <w:rPr>
                <w:rFonts w:cs="Times New Roman"/>
                <w:bCs/>
              </w:rPr>
              <w:t xml:space="preserve">, </w:t>
            </w:r>
            <w:proofErr w:type="spellStart"/>
            <w:r w:rsidRPr="000B5E88">
              <w:rPr>
                <w:rFonts w:cs="Times New Roman"/>
                <w:bCs/>
              </w:rPr>
              <w:t>Cabi</w:t>
            </w:r>
            <w:proofErr w:type="spellEnd"/>
            <w:r w:rsidRPr="000B5E88">
              <w:rPr>
                <w:rFonts w:cs="Times New Roman"/>
                <w:bCs/>
              </w:rPr>
              <w:t xml:space="preserve">, First </w:t>
            </w:r>
            <w:proofErr w:type="spellStart"/>
            <w:r w:rsidRPr="000B5E88">
              <w:rPr>
                <w:rFonts w:cs="Times New Roman"/>
                <w:bCs/>
              </w:rPr>
              <w:t>edition</w:t>
            </w:r>
            <w:proofErr w:type="spellEnd"/>
            <w:r w:rsidRPr="000B5E88">
              <w:rPr>
                <w:rFonts w:cs="Times New Roman"/>
                <w:bCs/>
              </w:rPr>
              <w:t>.</w:t>
            </w: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Kriteriji za planiranje turističkih predjela obalnoga područja mora</w:t>
            </w:r>
            <w:r w:rsidRPr="000B5E88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>(2009)</w:t>
            </w:r>
            <w:r w:rsidRPr="000B5E88">
              <w:rPr>
                <w:rFonts w:cs="Times New Roman"/>
                <w:bCs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</w:rPr>
              <w:t>ed</w:t>
            </w:r>
            <w:proofErr w:type="spellEnd"/>
            <w:r w:rsidRPr="000B5E88">
              <w:rPr>
                <w:rFonts w:cs="Times New Roman"/>
                <w:bCs/>
              </w:rPr>
              <w:t xml:space="preserve">. </w:t>
            </w:r>
            <w:proofErr w:type="spellStart"/>
            <w:r w:rsidRPr="000B5E88">
              <w:rPr>
                <w:rFonts w:cs="Times New Roman"/>
                <w:bCs/>
              </w:rPr>
              <w:t>Stjepo</w:t>
            </w:r>
            <w:proofErr w:type="spellEnd"/>
            <w:r w:rsidRPr="000B5E88">
              <w:rPr>
                <w:rFonts w:cs="Times New Roman"/>
                <w:bCs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</w:rPr>
              <w:t>Butijer</w:t>
            </w:r>
            <w:proofErr w:type="spellEnd"/>
            <w:r w:rsidRPr="000B5E88">
              <w:rPr>
                <w:rFonts w:cs="Times New Roman"/>
                <w:bCs/>
              </w:rPr>
              <w:t xml:space="preserve">, S. </w:t>
            </w:r>
            <w:proofErr w:type="spellStart"/>
            <w:r w:rsidRPr="000B5E88">
              <w:rPr>
                <w:rFonts w:cs="Times New Roman"/>
                <w:bCs/>
              </w:rPr>
              <w:t>et</w:t>
            </w:r>
            <w:proofErr w:type="spellEnd"/>
            <w:r w:rsidRPr="000B5E88">
              <w:rPr>
                <w:rFonts w:cs="Times New Roman"/>
                <w:bCs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</w:rPr>
              <w:t>al</w:t>
            </w:r>
            <w:proofErr w:type="spellEnd"/>
            <w:r w:rsidRPr="000B5E88">
              <w:rPr>
                <w:rFonts w:cs="Times New Roman"/>
                <w:bCs/>
              </w:rPr>
              <w:t>.. Zagreb: Ministarstvo zaštite okoliša, prostornog uređenja i graditeljstva</w:t>
            </w:r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Istra-turističke atrakcije</w:t>
            </w:r>
            <w:r w:rsidRPr="000B5E88">
              <w:rPr>
                <w:rFonts w:cs="Times New Roman"/>
                <w:bCs/>
              </w:rPr>
              <w:t xml:space="preserve">, preuzeto sa: </w:t>
            </w:r>
            <w:hyperlink r:id="rId6" w:history="1">
              <w:r w:rsidRPr="000B5E88">
                <w:rPr>
                  <w:rFonts w:cs="Times New Roman"/>
                </w:rPr>
                <w:t>http://www.istra.hr/hr/atrakcije-i-aktivnosti/kultura-i-umjetnost/znamenitosti/2804-ch-0?&amp;cr_offset=1&amp;l_over=1</w:t>
              </w:r>
            </w:hyperlink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Tradicija i nove turističke atrakcije</w:t>
            </w:r>
            <w:r w:rsidRPr="000B5E88">
              <w:rPr>
                <w:rFonts w:cs="Times New Roman"/>
                <w:bCs/>
              </w:rPr>
              <w:t xml:space="preserve">, preuzeto sa: </w:t>
            </w:r>
            <w:hyperlink r:id="rId7" w:history="1">
              <w:r w:rsidRPr="000B5E88">
                <w:rPr>
                  <w:rFonts w:cs="Times New Roman"/>
                </w:rPr>
                <w:t>http://www.croatia-blog.net/hr/tradicija-i-nove-turisticke-atrakcije</w:t>
              </w:r>
            </w:hyperlink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 xml:space="preserve">International </w:t>
            </w:r>
            <w:proofErr w:type="spellStart"/>
            <w:r w:rsidRPr="000B5E88">
              <w:rPr>
                <w:rFonts w:cs="Times New Roman"/>
                <w:bCs/>
                <w:i/>
              </w:rPr>
              <w:t>association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of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amusment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parks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and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attractions</w:t>
            </w:r>
            <w:proofErr w:type="spellEnd"/>
            <w:r w:rsidRPr="000B5E88">
              <w:rPr>
                <w:rFonts w:cs="Times New Roman"/>
                <w:bCs/>
              </w:rPr>
              <w:t xml:space="preserve">, pristup sa: </w:t>
            </w:r>
            <w:hyperlink r:id="rId8" w:history="1">
              <w:r w:rsidRPr="000B5E88">
                <w:rPr>
                  <w:rFonts w:cs="Times New Roman"/>
                </w:rPr>
                <w:t>http://www.iaapa.org/europe/documents/EuropeanCommissionResponse28-02-10.pdf</w:t>
              </w:r>
            </w:hyperlink>
          </w:p>
          <w:p w:rsidR="005669D3" w:rsidRPr="000B5E88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 xml:space="preserve">Europe </w:t>
            </w:r>
            <w:proofErr w:type="spellStart"/>
            <w:r w:rsidRPr="000B5E88">
              <w:rPr>
                <w:rFonts w:cs="Times New Roman"/>
                <w:bCs/>
                <w:i/>
              </w:rPr>
              <w:t>tourism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attractions</w:t>
            </w:r>
            <w:proofErr w:type="spellEnd"/>
            <w:r w:rsidRPr="000B5E88">
              <w:rPr>
                <w:rFonts w:cs="Times New Roman"/>
                <w:bCs/>
              </w:rPr>
              <w:t xml:space="preserve">, pristup sa: </w:t>
            </w:r>
            <w:hyperlink r:id="rId9" w:history="1">
              <w:r w:rsidRPr="000B5E88">
                <w:rPr>
                  <w:rStyle w:val="Hyperlink"/>
                  <w:rFonts w:cs="Times New Roman"/>
                  <w:bCs/>
                  <w:color w:val="auto"/>
                </w:rPr>
                <w:t>http://travel.mapsofworld.com/europe/tourist-attractions.html</w:t>
              </w:r>
            </w:hyperlink>
          </w:p>
          <w:p w:rsidR="005669D3" w:rsidRPr="00C81173" w:rsidRDefault="005669D3" w:rsidP="005669D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Watt, D.C. (1998), </w:t>
            </w:r>
            <w:r w:rsidRPr="000B5E88">
              <w:rPr>
                <w:rFonts w:cs="Times New Roman"/>
                <w:bCs/>
                <w:i/>
              </w:rPr>
              <w:t xml:space="preserve">Event management </w:t>
            </w:r>
            <w:proofErr w:type="spellStart"/>
            <w:r w:rsidRPr="000B5E88">
              <w:rPr>
                <w:rFonts w:cs="Times New Roman"/>
                <w:bCs/>
                <w:i/>
              </w:rPr>
              <w:t>in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Leisure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and</w:t>
            </w:r>
            <w:proofErr w:type="spellEnd"/>
            <w:r w:rsidRPr="000B5E88">
              <w:rPr>
                <w:rFonts w:cs="Times New Roman"/>
                <w:bCs/>
                <w:i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  <w:i/>
              </w:rPr>
              <w:t>Tourism</w:t>
            </w:r>
            <w:proofErr w:type="spellEnd"/>
            <w:r w:rsidRPr="000B5E88">
              <w:rPr>
                <w:rFonts w:cs="Times New Roman"/>
                <w:bCs/>
              </w:rPr>
              <w:t xml:space="preserve">, </w:t>
            </w:r>
            <w:proofErr w:type="spellStart"/>
            <w:r w:rsidRPr="000B5E88">
              <w:rPr>
                <w:rFonts w:cs="Times New Roman"/>
                <w:bCs/>
              </w:rPr>
              <w:t>Pearson</w:t>
            </w:r>
            <w:proofErr w:type="spellEnd"/>
            <w:r w:rsidRPr="000B5E88">
              <w:rPr>
                <w:rFonts w:cs="Times New Roman"/>
                <w:bCs/>
              </w:rPr>
              <w:t xml:space="preserve"> </w:t>
            </w:r>
            <w:proofErr w:type="spellStart"/>
            <w:r w:rsidRPr="000B5E88">
              <w:rPr>
                <w:rFonts w:cs="Times New Roman"/>
                <w:bCs/>
              </w:rPr>
              <w:t>Education</w:t>
            </w:r>
            <w:proofErr w:type="spellEnd"/>
            <w:r w:rsidRPr="000B5E88">
              <w:rPr>
                <w:rFonts w:cs="Times New Roman"/>
                <w:bCs/>
              </w:rPr>
              <w:t>.</w:t>
            </w:r>
          </w:p>
          <w:p w:rsidR="005669D3" w:rsidRDefault="005669D3" w:rsidP="005669D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lastRenderedPageBreak/>
              <w:t>Kušen</w:t>
            </w:r>
            <w:proofErr w:type="spellEnd"/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, E., (2002), </w:t>
            </w:r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Turistička atrakcijska osnova</w:t>
            </w: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, Institut za turizam, Zagreb, (1-198)</w:t>
            </w:r>
          </w:p>
          <w:p w:rsidR="005669D3" w:rsidRDefault="005669D3" w:rsidP="005669D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Van </w:t>
            </w:r>
            <w:proofErr w:type="spellStart"/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der</w:t>
            </w:r>
            <w:proofErr w:type="spellEnd"/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Wagen</w:t>
            </w:r>
            <w:proofErr w:type="spellEnd"/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, L., </w:t>
            </w:r>
            <w:proofErr w:type="spellStart"/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Carlos</w:t>
            </w:r>
            <w:proofErr w:type="spellEnd"/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, B.R. (2008), Event management  - Upravljanje događanjima, Zagreb, Mate, (65-210)</w:t>
            </w:r>
          </w:p>
          <w:p w:rsidR="005669D3" w:rsidRPr="000B5E88" w:rsidRDefault="005669D3" w:rsidP="005669D3">
            <w:pPr>
              <w:pStyle w:val="ListParagraph"/>
              <w:spacing w:after="0" w:line="240" w:lineRule="auto"/>
            </w:pPr>
          </w:p>
          <w:p w:rsidR="005669D3" w:rsidRPr="000B5E88" w:rsidRDefault="005669D3" w:rsidP="005669D3">
            <w:pPr>
              <w:spacing w:after="0" w:line="240" w:lineRule="auto"/>
            </w:pPr>
          </w:p>
          <w:p w:rsidR="00AC3BBE" w:rsidRPr="000B5E88" w:rsidRDefault="005669D3" w:rsidP="005669D3">
            <w:pPr>
              <w:spacing w:after="0" w:line="240" w:lineRule="auto"/>
            </w:pPr>
            <w:r w:rsidRPr="000B5E88">
              <w:t>Priručna: Promotivni materijali i brošure turističkih atrakcija</w:t>
            </w:r>
          </w:p>
        </w:tc>
      </w:tr>
    </w:tbl>
    <w:p w:rsidR="00EA6C80" w:rsidRDefault="00EA6C80" w:rsidP="00046FF5"/>
    <w:sectPr w:rsidR="00EA6C80" w:rsidSect="00046FF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0"/>
        <w:u w:val="none"/>
      </w:rPr>
    </w:lvl>
  </w:abstractNum>
  <w:abstractNum w:abstractNumId="1" w15:restartNumberingAfterBreak="0">
    <w:nsid w:val="214875D4"/>
    <w:multiLevelType w:val="hybridMultilevel"/>
    <w:tmpl w:val="2444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270"/>
    <w:multiLevelType w:val="hybridMultilevel"/>
    <w:tmpl w:val="5FE2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1D0"/>
    <w:multiLevelType w:val="hybridMultilevel"/>
    <w:tmpl w:val="45EE51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53050"/>
    <w:multiLevelType w:val="hybridMultilevel"/>
    <w:tmpl w:val="FC90B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E2FC2"/>
    <w:multiLevelType w:val="hybridMultilevel"/>
    <w:tmpl w:val="5038D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3377D"/>
    <w:multiLevelType w:val="hybridMultilevel"/>
    <w:tmpl w:val="33F6A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A0D69"/>
    <w:multiLevelType w:val="hybridMultilevel"/>
    <w:tmpl w:val="59F2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008E9"/>
    <w:multiLevelType w:val="hybridMultilevel"/>
    <w:tmpl w:val="A29E2E64"/>
    <w:lvl w:ilvl="0" w:tplc="A3C098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80"/>
    <w:rsid w:val="00040F2F"/>
    <w:rsid w:val="00046FF5"/>
    <w:rsid w:val="0006334B"/>
    <w:rsid w:val="000B5E88"/>
    <w:rsid w:val="000D07B0"/>
    <w:rsid w:val="001002CA"/>
    <w:rsid w:val="00121B17"/>
    <w:rsid w:val="00161231"/>
    <w:rsid w:val="001C1A24"/>
    <w:rsid w:val="001F5D6B"/>
    <w:rsid w:val="0020292E"/>
    <w:rsid w:val="00215888"/>
    <w:rsid w:val="0024262A"/>
    <w:rsid w:val="002E097F"/>
    <w:rsid w:val="002E51AB"/>
    <w:rsid w:val="0039596D"/>
    <w:rsid w:val="003F657C"/>
    <w:rsid w:val="00401A59"/>
    <w:rsid w:val="0041055E"/>
    <w:rsid w:val="00486520"/>
    <w:rsid w:val="004E1591"/>
    <w:rsid w:val="004E2567"/>
    <w:rsid w:val="004F39A0"/>
    <w:rsid w:val="00516B9B"/>
    <w:rsid w:val="0054011D"/>
    <w:rsid w:val="00552E04"/>
    <w:rsid w:val="005669D3"/>
    <w:rsid w:val="0057140E"/>
    <w:rsid w:val="005A415C"/>
    <w:rsid w:val="005C2D85"/>
    <w:rsid w:val="0061701E"/>
    <w:rsid w:val="00623F3C"/>
    <w:rsid w:val="00624461"/>
    <w:rsid w:val="006331B6"/>
    <w:rsid w:val="006A3BC7"/>
    <w:rsid w:val="007200CA"/>
    <w:rsid w:val="00744F18"/>
    <w:rsid w:val="007A3836"/>
    <w:rsid w:val="00886B09"/>
    <w:rsid w:val="008A5B32"/>
    <w:rsid w:val="009477B6"/>
    <w:rsid w:val="00951F02"/>
    <w:rsid w:val="00955B6C"/>
    <w:rsid w:val="00957766"/>
    <w:rsid w:val="009A4EBD"/>
    <w:rsid w:val="00A1616B"/>
    <w:rsid w:val="00A1643E"/>
    <w:rsid w:val="00A37A2E"/>
    <w:rsid w:val="00A76186"/>
    <w:rsid w:val="00AC072E"/>
    <w:rsid w:val="00AC3BBE"/>
    <w:rsid w:val="00B049D4"/>
    <w:rsid w:val="00B337D1"/>
    <w:rsid w:val="00B4625B"/>
    <w:rsid w:val="00BA40D1"/>
    <w:rsid w:val="00C32B04"/>
    <w:rsid w:val="00C712AD"/>
    <w:rsid w:val="00D0396F"/>
    <w:rsid w:val="00D05A0E"/>
    <w:rsid w:val="00D20888"/>
    <w:rsid w:val="00D6381A"/>
    <w:rsid w:val="00DB6953"/>
    <w:rsid w:val="00E31868"/>
    <w:rsid w:val="00E774E2"/>
    <w:rsid w:val="00E80F7E"/>
    <w:rsid w:val="00EA6C80"/>
    <w:rsid w:val="00EB7F96"/>
    <w:rsid w:val="00EE2FBD"/>
    <w:rsid w:val="00EE63C9"/>
    <w:rsid w:val="00F447AC"/>
    <w:rsid w:val="00F7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C9F6"/>
  <w15:docId w15:val="{31BEF556-32B5-484C-8CA5-85A9A6D4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96"/>
  </w:style>
  <w:style w:type="paragraph" w:styleId="Heading3">
    <w:name w:val="heading 3"/>
    <w:basedOn w:val="Normal"/>
    <w:link w:val="Heading3Char"/>
    <w:uiPriority w:val="9"/>
    <w:qFormat/>
    <w:rsid w:val="00B33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37D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Default">
    <w:name w:val="Default"/>
    <w:rsid w:val="00B33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63C9"/>
    <w:pPr>
      <w:ind w:left="720"/>
      <w:contextualSpacing/>
    </w:pPr>
  </w:style>
  <w:style w:type="paragraph" w:styleId="NormalWeb">
    <w:name w:val="Normal (Web)"/>
    <w:aliases w:val=" Char"/>
    <w:basedOn w:val="Normal"/>
    <w:link w:val="NormalWebChar"/>
    <w:rsid w:val="00744F18"/>
    <w:pPr>
      <w:suppressAutoHyphens/>
      <w:spacing w:before="45" w:after="45" w:line="240" w:lineRule="auto"/>
    </w:pPr>
    <w:rPr>
      <w:rFonts w:ascii="Tahoma" w:eastAsia="Times New Roman" w:hAnsi="Tahoma" w:cs="SloMinion"/>
      <w:color w:val="666666"/>
      <w:sz w:val="20"/>
      <w:szCs w:val="20"/>
      <w:lang w:eastAsia="ar-SA"/>
    </w:rPr>
  </w:style>
  <w:style w:type="character" w:customStyle="1" w:styleId="NormalWebChar">
    <w:name w:val="Normal (Web) Char"/>
    <w:aliases w:val=" Char Char"/>
    <w:basedOn w:val="DefaultParagraphFont"/>
    <w:link w:val="NormalWeb"/>
    <w:rsid w:val="00744F18"/>
    <w:rPr>
      <w:rFonts w:ascii="Tahoma" w:eastAsia="Times New Roman" w:hAnsi="Tahoma" w:cs="SloMinion"/>
      <w:color w:val="666666"/>
      <w:sz w:val="20"/>
      <w:szCs w:val="20"/>
      <w:lang w:eastAsia="ar-SA"/>
    </w:rPr>
  </w:style>
  <w:style w:type="character" w:styleId="Hyperlink">
    <w:name w:val="Hyperlink"/>
    <w:basedOn w:val="DefaultParagraphFont"/>
    <w:rsid w:val="000B5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apa.org/europe/documents/EuropeanCommissionResponse28-02-1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oatia-blog.net/hr/tradicija-i-nove-turisticke-atrakci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a.hr/hr/atrakcije-i-aktivnosti/kultura-i-umjetnost/znamenitosti/2804-ch-0?&amp;cr_offset=1&amp;l_over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vel.mapsofworld.com/europe/tourist-attrac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7E25-0190-4E30-BF70-68376040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vilic</dc:creator>
  <cp:lastModifiedBy>Dalibor</cp:lastModifiedBy>
  <cp:revision>4</cp:revision>
  <dcterms:created xsi:type="dcterms:W3CDTF">2021-01-25T13:40:00Z</dcterms:created>
  <dcterms:modified xsi:type="dcterms:W3CDTF">2021-01-25T13:41:00Z</dcterms:modified>
</cp:coreProperties>
</file>