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140E" w:rsidRDefault="0057140E"/>
    <w:tbl>
      <w:tblPr>
        <w:tblW w:w="5001" w:type="pct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537"/>
        <w:gridCol w:w="2407"/>
        <w:gridCol w:w="95"/>
        <w:gridCol w:w="1058"/>
        <w:gridCol w:w="271"/>
        <w:gridCol w:w="426"/>
        <w:gridCol w:w="982"/>
        <w:gridCol w:w="1278"/>
      </w:tblGrid>
      <w:tr w:rsidR="00BD5E00" w:rsidRPr="00EA6C80" w:rsidTr="004A7F97">
        <w:tc>
          <w:tcPr>
            <w:tcW w:w="905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D5E00" w:rsidRPr="00BD5E00" w:rsidRDefault="00BD5E00" w:rsidP="00BD5E00">
            <w:pPr>
              <w:spacing w:after="0" w:line="240" w:lineRule="auto"/>
              <w:jc w:val="right"/>
              <w:rPr>
                <w:b/>
              </w:rPr>
            </w:pPr>
            <w:r w:rsidRPr="00DE1E78">
              <w:rPr>
                <w:b/>
              </w:rPr>
              <w:t>IZVEDBENI PLAN NASTAVE KOLEGIJA</w:t>
            </w:r>
          </w:p>
        </w:tc>
      </w:tr>
      <w:tr w:rsidR="00EA6C80" w:rsidRPr="00EA6C80" w:rsidTr="004A7F97">
        <w:tc>
          <w:tcPr>
            <w:tcW w:w="2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A6C80" w:rsidRPr="00EA6C80" w:rsidRDefault="00EA6C80" w:rsidP="00EA6C80">
            <w:pPr>
              <w:spacing w:after="0" w:line="240" w:lineRule="auto"/>
            </w:pPr>
            <w:r w:rsidRPr="00EA6C80">
              <w:t>Kod i naziv kolegija</w:t>
            </w:r>
          </w:p>
        </w:tc>
        <w:tc>
          <w:tcPr>
            <w:tcW w:w="651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A6C80" w:rsidRPr="00B337D1" w:rsidRDefault="009636FC" w:rsidP="00041081">
            <w:pPr>
              <w:spacing w:before="100" w:beforeAutospacing="1" w:after="100" w:afterAutospacing="1" w:line="240" w:lineRule="auto"/>
              <w:outlineLvl w:val="2"/>
              <w:rPr>
                <w:rFonts w:eastAsia="Times New Roman" w:cs="Times New Roman"/>
                <w:b/>
                <w:bCs/>
                <w:lang w:eastAsia="hr-HR"/>
              </w:rPr>
            </w:pPr>
            <w:r w:rsidRPr="00B337D1">
              <w:rPr>
                <w:rFonts w:eastAsia="Times New Roman" w:cs="Times New Roman"/>
                <w:b/>
                <w:bCs/>
                <w:lang w:eastAsia="hr-HR"/>
              </w:rPr>
              <w:t xml:space="preserve">Upravljanje </w:t>
            </w:r>
            <w:r w:rsidR="00041081">
              <w:rPr>
                <w:rFonts w:eastAsia="Times New Roman" w:cs="Times New Roman"/>
                <w:b/>
                <w:bCs/>
                <w:lang w:eastAsia="hr-HR"/>
              </w:rPr>
              <w:t>atrakcijama u turizmu</w:t>
            </w:r>
            <w:r w:rsidRPr="00B337D1">
              <w:rPr>
                <w:rFonts w:eastAsia="Times New Roman" w:cs="Times New Roman"/>
                <w:b/>
                <w:bCs/>
                <w:lang w:eastAsia="hr-HR"/>
              </w:rPr>
              <w:t xml:space="preserve"> (</w:t>
            </w:r>
            <w:r>
              <w:rPr>
                <w:rFonts w:eastAsia="Times New Roman" w:cs="Times New Roman"/>
                <w:b/>
                <w:bCs/>
                <w:lang w:eastAsia="hr-HR"/>
              </w:rPr>
              <w:t>160334</w:t>
            </w:r>
            <w:r w:rsidRPr="00B337D1">
              <w:rPr>
                <w:rFonts w:eastAsia="Times New Roman" w:cs="Times New Roman"/>
                <w:b/>
                <w:bCs/>
                <w:lang w:eastAsia="hr-HR"/>
              </w:rPr>
              <w:t>)</w:t>
            </w:r>
          </w:p>
        </w:tc>
      </w:tr>
      <w:tr w:rsidR="00EA6C80" w:rsidRPr="00EA6C80" w:rsidTr="004A7F97">
        <w:tc>
          <w:tcPr>
            <w:tcW w:w="2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A6C80" w:rsidRPr="00EA6C80" w:rsidRDefault="00EA6C80" w:rsidP="00EA6C80">
            <w:pPr>
              <w:spacing w:after="0" w:line="240" w:lineRule="auto"/>
            </w:pPr>
            <w:r w:rsidRPr="00EA6C80">
              <w:t xml:space="preserve">Nastavnik/nastavnica </w:t>
            </w:r>
          </w:p>
          <w:p w:rsidR="00EA6C80" w:rsidRPr="00EA6C80" w:rsidRDefault="00EA6C80" w:rsidP="00EA6C80">
            <w:pPr>
              <w:spacing w:after="0" w:line="240" w:lineRule="auto"/>
            </w:pPr>
            <w:r w:rsidRPr="00EA6C80">
              <w:t>Suradnik/suradnica</w:t>
            </w:r>
          </w:p>
          <w:p w:rsidR="00EA6C80" w:rsidRPr="00EA6C80" w:rsidRDefault="00EA6C80" w:rsidP="00EA6C80">
            <w:pPr>
              <w:spacing w:after="0" w:line="240" w:lineRule="auto"/>
            </w:pPr>
            <w:r w:rsidRPr="00EA6C80">
              <w:t>(s poveznicom na mrežnu str.)</w:t>
            </w:r>
          </w:p>
        </w:tc>
        <w:tc>
          <w:tcPr>
            <w:tcW w:w="651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A7F97" w:rsidRDefault="004A7F97" w:rsidP="00EA6C80">
            <w:pPr>
              <w:spacing w:after="0" w:line="240" w:lineRule="auto"/>
            </w:pPr>
            <w:r>
              <w:rPr>
                <w:lang w:val="it-IT"/>
              </w:rPr>
              <w:t>Prof.d</w:t>
            </w:r>
            <w:r w:rsidR="00B337D1">
              <w:rPr>
                <w:lang w:val="it-IT"/>
              </w:rPr>
              <w:t>r</w:t>
            </w:r>
            <w:r w:rsidR="00B337D1" w:rsidRPr="00B337D1">
              <w:t>.</w:t>
            </w:r>
            <w:r w:rsidR="00B337D1">
              <w:rPr>
                <w:lang w:val="it-IT"/>
              </w:rPr>
              <w:t>sc</w:t>
            </w:r>
            <w:r w:rsidR="00B337D1" w:rsidRPr="00B337D1">
              <w:t xml:space="preserve">. </w:t>
            </w:r>
            <w:r w:rsidR="00B337D1">
              <w:t xml:space="preserve">Jasmina Gržinić </w:t>
            </w:r>
          </w:p>
          <w:p w:rsidR="00B337D1" w:rsidRPr="00B337D1" w:rsidRDefault="004A7F97" w:rsidP="004A7F97">
            <w:pPr>
              <w:spacing w:after="0" w:line="240" w:lineRule="auto"/>
            </w:pPr>
            <w:r w:rsidRPr="004A7F97">
              <w:t>https://e-ucenje.unipu.hr/course/view.php?id=4234</w:t>
            </w:r>
          </w:p>
        </w:tc>
      </w:tr>
      <w:tr w:rsidR="00EA6C80" w:rsidRPr="00EA6C80" w:rsidTr="004A7F97">
        <w:tc>
          <w:tcPr>
            <w:tcW w:w="2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A6C80" w:rsidRPr="00EA6C80" w:rsidRDefault="00EA6C80" w:rsidP="00EA6C80">
            <w:pPr>
              <w:spacing w:after="0" w:line="240" w:lineRule="auto"/>
            </w:pPr>
            <w:r w:rsidRPr="00EA6C80">
              <w:t>Studijski program</w:t>
            </w:r>
          </w:p>
        </w:tc>
        <w:tc>
          <w:tcPr>
            <w:tcW w:w="651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A6C80" w:rsidRPr="00B337D1" w:rsidRDefault="007A3C8D" w:rsidP="004A7F97">
            <w:pPr>
              <w:spacing w:after="0" w:line="240" w:lineRule="auto"/>
              <w:rPr>
                <w:lang w:val="it-IT"/>
              </w:rPr>
            </w:pPr>
            <w:r>
              <w:rPr>
                <w:lang w:val="it-IT"/>
              </w:rPr>
              <w:t>P</w:t>
            </w:r>
            <w:r w:rsidR="00B337D1" w:rsidRPr="00B337D1">
              <w:rPr>
                <w:lang w:val="it-IT"/>
              </w:rPr>
              <w:t>reddiplomski</w:t>
            </w:r>
            <w:r>
              <w:rPr>
                <w:lang w:val="it-IT"/>
              </w:rPr>
              <w:t xml:space="preserve"> Sveučilišni</w:t>
            </w:r>
            <w:r w:rsidR="004A7F97">
              <w:rPr>
                <w:lang w:val="it-IT"/>
              </w:rPr>
              <w:t xml:space="preserve"> studij Poslovna ekonomija, Turizam</w:t>
            </w:r>
          </w:p>
        </w:tc>
      </w:tr>
      <w:tr w:rsidR="00EA6C80" w:rsidRPr="00EA6C80" w:rsidTr="004A7F97">
        <w:tc>
          <w:tcPr>
            <w:tcW w:w="2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A6C80" w:rsidRPr="00EA6C80" w:rsidRDefault="00EA6C80" w:rsidP="00EA6C80">
            <w:pPr>
              <w:spacing w:after="0" w:line="240" w:lineRule="auto"/>
            </w:pPr>
            <w:r w:rsidRPr="00EA6C80">
              <w:t>Vrsta kolegija</w:t>
            </w:r>
          </w:p>
        </w:tc>
        <w:tc>
          <w:tcPr>
            <w:tcW w:w="2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A6C80" w:rsidRPr="00EA6C80" w:rsidRDefault="004A7F97" w:rsidP="00EA6C80">
            <w:pPr>
              <w:spacing w:after="0" w:line="240" w:lineRule="auto"/>
            </w:pPr>
            <w:r>
              <w:t>obvezni</w:t>
            </w:r>
          </w:p>
          <w:p w:rsidR="00EA6C80" w:rsidRPr="00EA6C80" w:rsidRDefault="00EA6C80" w:rsidP="00EA6C80">
            <w:pPr>
              <w:spacing w:after="0" w:line="240" w:lineRule="auto"/>
            </w:pPr>
          </w:p>
        </w:tc>
        <w:tc>
          <w:tcPr>
            <w:tcW w:w="142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A6C80" w:rsidRPr="00EA6C80" w:rsidRDefault="00EA6C80" w:rsidP="00EA6C80">
            <w:pPr>
              <w:spacing w:after="0" w:line="240" w:lineRule="auto"/>
            </w:pPr>
            <w:r w:rsidRPr="00EA6C80">
              <w:t>Razina kolegija</w:t>
            </w:r>
          </w:p>
        </w:tc>
        <w:tc>
          <w:tcPr>
            <w:tcW w:w="26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337D1" w:rsidRPr="00EA6C80" w:rsidRDefault="00B337D1" w:rsidP="00B337D1">
            <w:pPr>
              <w:spacing w:after="0" w:line="240" w:lineRule="auto"/>
            </w:pPr>
            <w:r w:rsidRPr="00EA6C80">
              <w:t>Preddiplomski</w:t>
            </w:r>
          </w:p>
          <w:p w:rsidR="00EA6C80" w:rsidRPr="00EA6C80" w:rsidRDefault="00EA6C80" w:rsidP="00EA6C80">
            <w:pPr>
              <w:spacing w:after="0" w:line="240" w:lineRule="auto"/>
            </w:pPr>
          </w:p>
        </w:tc>
      </w:tr>
      <w:tr w:rsidR="00EA6C80" w:rsidRPr="00EA6C80" w:rsidTr="004A7F97">
        <w:tc>
          <w:tcPr>
            <w:tcW w:w="2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A6C80" w:rsidRPr="00EA6C80" w:rsidRDefault="00EA6C80" w:rsidP="00EA6C80">
            <w:pPr>
              <w:spacing w:after="0" w:line="240" w:lineRule="auto"/>
            </w:pPr>
            <w:r w:rsidRPr="00EA6C80">
              <w:t>Semestar</w:t>
            </w:r>
          </w:p>
        </w:tc>
        <w:tc>
          <w:tcPr>
            <w:tcW w:w="2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A6C80" w:rsidRPr="00EA6C80" w:rsidRDefault="001066D1" w:rsidP="00EA6C80">
            <w:pPr>
              <w:spacing w:after="0" w:line="240" w:lineRule="auto"/>
            </w:pPr>
            <w:r>
              <w:t>Z</w:t>
            </w:r>
            <w:r w:rsidR="00EA6C80" w:rsidRPr="00EA6C80">
              <w:t>imski</w:t>
            </w:r>
          </w:p>
          <w:p w:rsidR="00EA6C80" w:rsidRPr="00EA6C80" w:rsidRDefault="00EA6C80" w:rsidP="00EA6C80">
            <w:pPr>
              <w:spacing w:after="0" w:line="240" w:lineRule="auto"/>
            </w:pPr>
          </w:p>
        </w:tc>
        <w:tc>
          <w:tcPr>
            <w:tcW w:w="142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A6C80" w:rsidRPr="00EA6C80" w:rsidRDefault="00EA6C80" w:rsidP="00EA6C80">
            <w:pPr>
              <w:spacing w:after="0" w:line="240" w:lineRule="auto"/>
            </w:pPr>
            <w:r w:rsidRPr="00EA6C80">
              <w:t>Godina studija</w:t>
            </w:r>
          </w:p>
        </w:tc>
        <w:tc>
          <w:tcPr>
            <w:tcW w:w="26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A6C80" w:rsidRPr="00EA6C80" w:rsidRDefault="004A7F97" w:rsidP="00EA6C80">
            <w:pPr>
              <w:spacing w:after="0" w:line="240" w:lineRule="auto"/>
            </w:pPr>
            <w:r>
              <w:t>III</w:t>
            </w:r>
            <w:r w:rsidR="00B337D1">
              <w:t>.</w:t>
            </w:r>
          </w:p>
        </w:tc>
      </w:tr>
      <w:tr w:rsidR="00EA6C80" w:rsidRPr="00EA6C80" w:rsidTr="004A7F97">
        <w:tc>
          <w:tcPr>
            <w:tcW w:w="2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A6C80" w:rsidRPr="00EA6C80" w:rsidRDefault="00EA6C80" w:rsidP="00EA6C80">
            <w:pPr>
              <w:spacing w:after="0" w:line="240" w:lineRule="auto"/>
            </w:pPr>
            <w:proofErr w:type="spellStart"/>
            <w:r w:rsidRPr="00EA6C80">
              <w:rPr>
                <w:lang w:val="en-US"/>
              </w:rPr>
              <w:t>Mjesto</w:t>
            </w:r>
            <w:proofErr w:type="spellEnd"/>
            <w:r w:rsidRPr="00EA6C80">
              <w:rPr>
                <w:lang w:val="en-US"/>
              </w:rPr>
              <w:t xml:space="preserve"> </w:t>
            </w:r>
            <w:proofErr w:type="spellStart"/>
            <w:r w:rsidRPr="00EA6C80">
              <w:rPr>
                <w:lang w:val="en-US"/>
              </w:rPr>
              <w:t>izvođenja</w:t>
            </w:r>
            <w:proofErr w:type="spellEnd"/>
          </w:p>
        </w:tc>
        <w:tc>
          <w:tcPr>
            <w:tcW w:w="2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A6C80" w:rsidRPr="00EA6C80" w:rsidRDefault="00B337D1" w:rsidP="001E1291">
            <w:pPr>
              <w:spacing w:after="0" w:line="240" w:lineRule="auto"/>
            </w:pPr>
            <w:r>
              <w:t xml:space="preserve">Dvorana </w:t>
            </w:r>
            <w:r w:rsidR="007A3C8D">
              <w:t xml:space="preserve"> (</w:t>
            </w:r>
            <w:proofErr w:type="spellStart"/>
            <w:r w:rsidR="007A3C8D">
              <w:t>Preradovićeva</w:t>
            </w:r>
            <w:proofErr w:type="spellEnd"/>
            <w:r w:rsidR="001E1291">
              <w:t>) ili online (UNIPU odluka)</w:t>
            </w:r>
            <w:r>
              <w:t xml:space="preserve"> </w:t>
            </w:r>
          </w:p>
        </w:tc>
        <w:tc>
          <w:tcPr>
            <w:tcW w:w="142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A6C80" w:rsidRPr="00EA6C80" w:rsidRDefault="00EA6C80" w:rsidP="00EA6C80">
            <w:pPr>
              <w:spacing w:after="0" w:line="240" w:lineRule="auto"/>
            </w:pPr>
            <w:proofErr w:type="spellStart"/>
            <w:r w:rsidRPr="00EA6C80">
              <w:rPr>
                <w:lang w:val="en-US"/>
              </w:rPr>
              <w:t>Jezik</w:t>
            </w:r>
            <w:proofErr w:type="spellEnd"/>
            <w:r w:rsidRPr="00EA6C80">
              <w:t xml:space="preserve"> izvođenja (drugi jezici)</w:t>
            </w:r>
          </w:p>
        </w:tc>
        <w:tc>
          <w:tcPr>
            <w:tcW w:w="26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A6C80" w:rsidRPr="00EA6C80" w:rsidRDefault="00B337D1" w:rsidP="00EA6C80">
            <w:pPr>
              <w:spacing w:after="0" w:line="240" w:lineRule="auto"/>
            </w:pPr>
            <w:proofErr w:type="spellStart"/>
            <w:r>
              <w:rPr>
                <w:lang w:val="en-US"/>
              </w:rPr>
              <w:t>Hrvatski</w:t>
            </w:r>
            <w:proofErr w:type="spellEnd"/>
            <w:r>
              <w:rPr>
                <w:lang w:val="en-US"/>
              </w:rPr>
              <w:t xml:space="preserve"> </w:t>
            </w:r>
          </w:p>
        </w:tc>
      </w:tr>
      <w:tr w:rsidR="00EA6C80" w:rsidRPr="00EA6C80" w:rsidTr="004A7F97">
        <w:tc>
          <w:tcPr>
            <w:tcW w:w="2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A6C80" w:rsidRPr="00EA6C80" w:rsidRDefault="00EA6C80" w:rsidP="00EA6C80">
            <w:pPr>
              <w:spacing w:after="0" w:line="240" w:lineRule="auto"/>
            </w:pPr>
            <w:r w:rsidRPr="00EA6C80">
              <w:t>Broj ECTS bodova</w:t>
            </w:r>
          </w:p>
        </w:tc>
        <w:tc>
          <w:tcPr>
            <w:tcW w:w="2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A6C80" w:rsidRPr="00EA6C80" w:rsidRDefault="004A7F97" w:rsidP="00EA6C80">
            <w:pPr>
              <w:spacing w:after="0" w:line="240" w:lineRule="auto"/>
            </w:pPr>
            <w:r>
              <w:t>6</w:t>
            </w:r>
          </w:p>
        </w:tc>
        <w:tc>
          <w:tcPr>
            <w:tcW w:w="142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A6C80" w:rsidRPr="00EA6C80" w:rsidRDefault="00EA6C80" w:rsidP="00EA6C80">
            <w:pPr>
              <w:spacing w:after="0" w:line="240" w:lineRule="auto"/>
            </w:pPr>
            <w:r w:rsidRPr="00EA6C80">
              <w:t>Broj sati u semestru</w:t>
            </w:r>
          </w:p>
        </w:tc>
        <w:tc>
          <w:tcPr>
            <w:tcW w:w="26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A6C80" w:rsidRPr="00EA6C80" w:rsidRDefault="00B337D1" w:rsidP="004A7F97">
            <w:pPr>
              <w:spacing w:after="0" w:line="240" w:lineRule="auto"/>
            </w:pPr>
            <w:r>
              <w:rPr>
                <w:lang w:val="en-US"/>
              </w:rPr>
              <w:t>(</w:t>
            </w:r>
            <w:r w:rsidR="00EA6C80" w:rsidRPr="00EA6C80">
              <w:rPr>
                <w:lang w:val="en-US"/>
              </w:rPr>
              <w:t xml:space="preserve"> </w:t>
            </w:r>
            <w:r w:rsidR="004A7F97">
              <w:rPr>
                <w:lang w:val="en-US"/>
              </w:rPr>
              <w:t>30</w:t>
            </w:r>
            <w:r w:rsidR="00EA6C80" w:rsidRPr="00EA6C80">
              <w:rPr>
                <w:lang w:val="en-US"/>
              </w:rPr>
              <w:t>P</w:t>
            </w:r>
            <w:r w:rsidR="00EA6C80" w:rsidRPr="00EA6C80">
              <w:t xml:space="preserve"> – 0</w:t>
            </w:r>
            <w:r w:rsidR="00EA6C80" w:rsidRPr="00EA6C80">
              <w:rPr>
                <w:lang w:val="en-US"/>
              </w:rPr>
              <w:t>V</w:t>
            </w:r>
            <w:r w:rsidR="00EA6C80" w:rsidRPr="00EA6C80">
              <w:t xml:space="preserve"> – </w:t>
            </w:r>
            <w:r w:rsidR="004A7F97">
              <w:t>30</w:t>
            </w:r>
            <w:r w:rsidR="00EA6C80" w:rsidRPr="00EA6C80">
              <w:rPr>
                <w:lang w:val="en-US"/>
              </w:rPr>
              <w:t>S</w:t>
            </w:r>
            <w:r w:rsidR="00EA6C80" w:rsidRPr="00EA6C80">
              <w:t>)</w:t>
            </w:r>
          </w:p>
        </w:tc>
      </w:tr>
      <w:tr w:rsidR="00EA6C80" w:rsidRPr="00EA6C80" w:rsidTr="004A7F97">
        <w:tc>
          <w:tcPr>
            <w:tcW w:w="2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A6C80" w:rsidRPr="00EA6C80" w:rsidRDefault="00EA6C80" w:rsidP="00EA6C80">
            <w:pPr>
              <w:spacing w:after="0" w:line="240" w:lineRule="auto"/>
            </w:pPr>
            <w:r w:rsidRPr="00EA6C80">
              <w:t>Preduvjeti</w:t>
            </w:r>
          </w:p>
        </w:tc>
        <w:tc>
          <w:tcPr>
            <w:tcW w:w="651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A6C80" w:rsidRPr="00EA6C80" w:rsidRDefault="00B337D1" w:rsidP="00EA6C80">
            <w:pPr>
              <w:spacing w:after="0" w:line="240" w:lineRule="auto"/>
            </w:pPr>
            <w:r>
              <w:t>-</w:t>
            </w:r>
          </w:p>
        </w:tc>
      </w:tr>
      <w:tr w:rsidR="00EA6C80" w:rsidRPr="00EA6C80" w:rsidTr="004A7F97">
        <w:tc>
          <w:tcPr>
            <w:tcW w:w="2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A6C80" w:rsidRPr="00EA6C80" w:rsidRDefault="00A1616B" w:rsidP="00EA6C80">
            <w:pPr>
              <w:spacing w:after="0" w:line="240" w:lineRule="auto"/>
            </w:pPr>
            <w:proofErr w:type="spellStart"/>
            <w:r>
              <w:rPr>
                <w:lang w:val="en-US"/>
              </w:rPr>
              <w:t>Korelativnost</w:t>
            </w:r>
            <w:proofErr w:type="spellEnd"/>
          </w:p>
        </w:tc>
        <w:tc>
          <w:tcPr>
            <w:tcW w:w="651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A6C80" w:rsidRPr="00EA6C80" w:rsidRDefault="004A7F97" w:rsidP="00B337D1">
            <w:pPr>
              <w:spacing w:after="0" w:line="240" w:lineRule="auto"/>
            </w:pPr>
            <w:r>
              <w:t>Uvod u turizam</w:t>
            </w:r>
          </w:p>
        </w:tc>
      </w:tr>
      <w:tr w:rsidR="00EA6C80" w:rsidRPr="00EA6C80" w:rsidTr="004A7F97">
        <w:tc>
          <w:tcPr>
            <w:tcW w:w="2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A6C80" w:rsidRPr="00EA6C80" w:rsidRDefault="00EA6C80" w:rsidP="00EA6C80">
            <w:pPr>
              <w:spacing w:after="0" w:line="240" w:lineRule="auto"/>
            </w:pPr>
            <w:r w:rsidRPr="00EA6C80">
              <w:t xml:space="preserve">Cilj kolegija </w:t>
            </w:r>
          </w:p>
        </w:tc>
        <w:tc>
          <w:tcPr>
            <w:tcW w:w="651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301"/>
            </w:tblGrid>
            <w:tr w:rsidR="00B337D1" w:rsidRPr="00E774E2" w:rsidTr="00B337D1">
              <w:trPr>
                <w:trHeight w:val="916"/>
              </w:trPr>
              <w:tc>
                <w:tcPr>
                  <w:tcW w:w="6301" w:type="dxa"/>
                </w:tcPr>
                <w:p w:rsidR="00B337D1" w:rsidRPr="004A7F97" w:rsidRDefault="007A3C8D" w:rsidP="004A7F97">
                  <w:pPr>
                    <w:pStyle w:val="Default"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4A7F97">
                    <w:rPr>
                      <w:rFonts w:ascii="Times New Roman" w:hAnsi="Times New Roman" w:cs="Times New Roman"/>
                      <w:sz w:val="22"/>
                      <w:szCs w:val="22"/>
                    </w:rPr>
                    <w:t>Osposobiti studente</w:t>
                  </w:r>
                  <w:r w:rsidR="00B337D1" w:rsidRPr="004A7F97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za logičko proučavanje, pojašnjavanje, planiranje i predviđanje postojećih i novih odnosa i odraza u </w:t>
                  </w:r>
                  <w:r w:rsidR="00E774E2" w:rsidRPr="004A7F97">
                    <w:rPr>
                      <w:rFonts w:ascii="Times New Roman" w:hAnsi="Times New Roman" w:cs="Times New Roman"/>
                      <w:sz w:val="22"/>
                      <w:szCs w:val="22"/>
                    </w:rPr>
                    <w:t>turističkom gospodarstvu</w:t>
                  </w:r>
                  <w:r w:rsidR="00B337D1" w:rsidRPr="004A7F97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(sadržaji, procesi, veze, odnosi i modeli) nastalih </w:t>
                  </w:r>
                  <w:r w:rsidR="00E774E2" w:rsidRPr="004A7F97">
                    <w:rPr>
                      <w:rFonts w:ascii="Times New Roman" w:hAnsi="Times New Roman" w:cs="Times New Roman"/>
                      <w:sz w:val="22"/>
                      <w:szCs w:val="22"/>
                    </w:rPr>
                    <w:t>turističkom valorizacijom</w:t>
                  </w:r>
                  <w:r w:rsidR="00B337D1" w:rsidRPr="004A7F97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prirodno</w:t>
                  </w:r>
                  <w:r w:rsidR="00E774E2" w:rsidRPr="004A7F97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geografskih i društveno kulturnih resursa s </w:t>
                  </w:r>
                  <w:r w:rsidR="00B337D1" w:rsidRPr="004A7F97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ciljem otkrivanja, objašnjavanja, postavljanja i predviđanja </w:t>
                  </w:r>
                  <w:r w:rsidR="00E774E2" w:rsidRPr="004A7F97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djelovanja </w:t>
                  </w:r>
                  <w:r w:rsidR="00B337D1" w:rsidRPr="004A7F97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organizacije i funkcioniranja </w:t>
                  </w:r>
                  <w:r w:rsidR="00E774E2" w:rsidRPr="004A7F97">
                    <w:rPr>
                      <w:rFonts w:ascii="Times New Roman" w:hAnsi="Times New Roman" w:cs="Times New Roman"/>
                      <w:sz w:val="22"/>
                      <w:szCs w:val="22"/>
                    </w:rPr>
                    <w:t>turističkih atrakcija</w:t>
                  </w:r>
                  <w:r w:rsidR="00B337D1" w:rsidRPr="004A7F97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u skladu s postojećom </w:t>
                  </w:r>
                  <w:r w:rsidR="00E774E2" w:rsidRPr="004A7F97">
                    <w:rPr>
                      <w:rFonts w:ascii="Times New Roman" w:hAnsi="Times New Roman" w:cs="Times New Roman"/>
                      <w:sz w:val="22"/>
                      <w:szCs w:val="22"/>
                    </w:rPr>
                    <w:t>organizacijom turističkog gospodarstva na lokalnoj i globalnoj razini.</w:t>
                  </w:r>
                  <w:r w:rsidR="00B337D1" w:rsidRPr="004A7F97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</w:p>
              </w:tc>
            </w:tr>
          </w:tbl>
          <w:p w:rsidR="00EA6C80" w:rsidRPr="00EA6C80" w:rsidRDefault="00EA6C80" w:rsidP="00B337D1">
            <w:pPr>
              <w:spacing w:after="0" w:line="240" w:lineRule="auto"/>
              <w:ind w:right="-210"/>
            </w:pPr>
          </w:p>
        </w:tc>
      </w:tr>
      <w:tr w:rsidR="00EA6C80" w:rsidRPr="00EA6C80" w:rsidTr="004A7F97">
        <w:tc>
          <w:tcPr>
            <w:tcW w:w="2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A6C80" w:rsidRPr="00EA6C80" w:rsidRDefault="00EA6C80" w:rsidP="00EA6C80">
            <w:pPr>
              <w:spacing w:after="0" w:line="240" w:lineRule="auto"/>
            </w:pPr>
            <w:r w:rsidRPr="00EA6C80">
              <w:t>Ishodi učenja</w:t>
            </w:r>
          </w:p>
        </w:tc>
        <w:tc>
          <w:tcPr>
            <w:tcW w:w="651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359"/>
            </w:tblGrid>
            <w:tr w:rsidR="00E774E2">
              <w:trPr>
                <w:trHeight w:val="1050"/>
              </w:trPr>
              <w:tc>
                <w:tcPr>
                  <w:tcW w:w="6359" w:type="dxa"/>
                </w:tcPr>
                <w:p w:rsidR="00E774E2" w:rsidRPr="004A7F97" w:rsidRDefault="00E774E2" w:rsidP="000E3151">
                  <w:pPr>
                    <w:pStyle w:val="Default"/>
                    <w:ind w:left="-96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4A7F97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4A7F97">
                    <w:rPr>
                      <w:rFonts w:ascii="Times New Roman" w:hAnsi="Times New Roman" w:cs="Times New Roman"/>
                      <w:sz w:val="22"/>
                      <w:szCs w:val="22"/>
                    </w:rPr>
                    <w:t>1. Definirati temeljne odrednice resursne osnove</w:t>
                  </w:r>
                </w:p>
                <w:p w:rsidR="00F543FE" w:rsidRPr="004A7F97" w:rsidRDefault="00E774E2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4A7F97">
                    <w:rPr>
                      <w:rFonts w:ascii="Times New Roman" w:hAnsi="Times New Roman" w:cs="Times New Roman"/>
                      <w:sz w:val="22"/>
                      <w:szCs w:val="22"/>
                    </w:rPr>
                    <w:t>2. Izdvojiti i objasniti osnovna obilježja prirodnih i društvenih resursa te njihovu valoriz</w:t>
                  </w:r>
                  <w:r w:rsidR="00F543FE" w:rsidRPr="004A7F97">
                    <w:rPr>
                      <w:rFonts w:ascii="Times New Roman" w:hAnsi="Times New Roman" w:cs="Times New Roman"/>
                      <w:sz w:val="22"/>
                      <w:szCs w:val="22"/>
                    </w:rPr>
                    <w:t>aciju u turističke atrakcije</w:t>
                  </w:r>
                </w:p>
                <w:p w:rsidR="00E774E2" w:rsidRPr="004A7F97" w:rsidRDefault="00F543FE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4A7F97">
                    <w:rPr>
                      <w:rFonts w:ascii="Times New Roman" w:hAnsi="Times New Roman" w:cs="Times New Roman"/>
                      <w:sz w:val="22"/>
                      <w:szCs w:val="22"/>
                    </w:rPr>
                    <w:t>3. O</w:t>
                  </w:r>
                  <w:r w:rsidR="00E774E2" w:rsidRPr="004A7F97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bjasniti odrednice upravljanja turističkim atrakcijama </w:t>
                  </w:r>
                </w:p>
                <w:p w:rsidR="00E774E2" w:rsidRPr="004A7F97" w:rsidRDefault="00F543FE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4A7F97">
                    <w:rPr>
                      <w:rFonts w:ascii="Times New Roman" w:hAnsi="Times New Roman" w:cs="Times New Roman"/>
                      <w:sz w:val="22"/>
                      <w:szCs w:val="22"/>
                    </w:rPr>
                    <w:t>4</w:t>
                  </w:r>
                  <w:r w:rsidR="00E774E2" w:rsidRPr="004A7F97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. </w:t>
                  </w:r>
                  <w:r w:rsidR="00B4625B" w:rsidRPr="004A7F97">
                    <w:rPr>
                      <w:rFonts w:ascii="Times New Roman" w:hAnsi="Times New Roman" w:cs="Times New Roman"/>
                      <w:sz w:val="22"/>
                      <w:szCs w:val="22"/>
                    </w:rPr>
                    <w:t>Vrednovati razvoj turističke atrakcije u razvoju sustava cijele destinacije</w:t>
                  </w:r>
                </w:p>
                <w:p w:rsidR="00BD5E00" w:rsidRPr="004A7F97" w:rsidRDefault="00F543FE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4A7F97">
                    <w:rPr>
                      <w:rFonts w:ascii="Times New Roman" w:hAnsi="Times New Roman" w:cs="Times New Roman"/>
                      <w:sz w:val="22"/>
                      <w:szCs w:val="22"/>
                    </w:rPr>
                    <w:t>5</w:t>
                  </w:r>
                  <w:r w:rsidR="007A3C8D" w:rsidRPr="004A7F97">
                    <w:rPr>
                      <w:rFonts w:ascii="Times New Roman" w:hAnsi="Times New Roman" w:cs="Times New Roman"/>
                      <w:sz w:val="22"/>
                      <w:szCs w:val="22"/>
                    </w:rPr>
                    <w:t>.</w:t>
                  </w:r>
                  <w:r w:rsidR="00E774E2" w:rsidRPr="004A7F97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Smisliti, razviti i stvoriti vlastiti samostalni rad na zadanu temu </w:t>
                  </w:r>
                </w:p>
              </w:tc>
            </w:tr>
          </w:tbl>
          <w:p w:rsidR="00EA6C80" w:rsidRPr="00EA6C80" w:rsidRDefault="00EA6C80" w:rsidP="00EA6C80">
            <w:pPr>
              <w:spacing w:after="0" w:line="240" w:lineRule="auto"/>
            </w:pPr>
          </w:p>
        </w:tc>
      </w:tr>
      <w:tr w:rsidR="00EA6C80" w:rsidRPr="00EA6C80" w:rsidTr="004A7F97">
        <w:tc>
          <w:tcPr>
            <w:tcW w:w="2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6C80" w:rsidRPr="00EA6C80" w:rsidRDefault="00EA6C80" w:rsidP="00EA6C80">
            <w:pPr>
              <w:spacing w:after="0" w:line="240" w:lineRule="auto"/>
            </w:pPr>
            <w:r w:rsidRPr="00EA6C80">
              <w:t>Sadržaj kolegija</w:t>
            </w:r>
          </w:p>
        </w:tc>
        <w:tc>
          <w:tcPr>
            <w:tcW w:w="651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25B" w:rsidRPr="00754AF3" w:rsidRDefault="00B4625B" w:rsidP="00B4625B">
            <w:pPr>
              <w:numPr>
                <w:ilvl w:val="0"/>
                <w:numId w:val="2"/>
              </w:numPr>
              <w:tabs>
                <w:tab w:val="left" w:pos="720"/>
              </w:tabs>
              <w:suppressAutoHyphens/>
              <w:spacing w:after="0" w:line="240" w:lineRule="auto"/>
              <w:jc w:val="both"/>
            </w:pPr>
            <w:r w:rsidRPr="00754AF3">
              <w:t>Uvod u menadžment atrakcija</w:t>
            </w:r>
          </w:p>
          <w:p w:rsidR="00B4625B" w:rsidRPr="00754AF3" w:rsidRDefault="00B4625B" w:rsidP="00B4625B">
            <w:pPr>
              <w:numPr>
                <w:ilvl w:val="0"/>
                <w:numId w:val="2"/>
              </w:numPr>
              <w:tabs>
                <w:tab w:val="left" w:pos="720"/>
              </w:tabs>
              <w:suppressAutoHyphens/>
              <w:spacing w:after="0" w:line="240" w:lineRule="auto"/>
              <w:jc w:val="both"/>
            </w:pPr>
            <w:r w:rsidRPr="00754AF3">
              <w:t xml:space="preserve">Klasifikacija turističkih atrakcija </w:t>
            </w:r>
            <w:r>
              <w:t xml:space="preserve"> i uloga </w:t>
            </w:r>
            <w:r w:rsidRPr="00754AF3">
              <w:t>turističkih atrakcija</w:t>
            </w:r>
          </w:p>
          <w:p w:rsidR="00B4625B" w:rsidRPr="00754AF3" w:rsidRDefault="00B4625B" w:rsidP="00B4625B">
            <w:pPr>
              <w:numPr>
                <w:ilvl w:val="0"/>
                <w:numId w:val="2"/>
              </w:numPr>
              <w:tabs>
                <w:tab w:val="left" w:pos="720"/>
              </w:tabs>
              <w:suppressAutoHyphens/>
              <w:spacing w:after="0" w:line="240" w:lineRule="auto"/>
              <w:jc w:val="both"/>
            </w:pPr>
            <w:r>
              <w:t>Turističke atrakcije: sagledavanje kao</w:t>
            </w:r>
            <w:r w:rsidRPr="00754AF3">
              <w:t xml:space="preserve"> proizvod, tržište, destinacija</w:t>
            </w:r>
          </w:p>
          <w:p w:rsidR="00B4625B" w:rsidRPr="00754AF3" w:rsidRDefault="00B4625B" w:rsidP="00B4625B">
            <w:pPr>
              <w:numPr>
                <w:ilvl w:val="0"/>
                <w:numId w:val="2"/>
              </w:numPr>
              <w:tabs>
                <w:tab w:val="left" w:pos="720"/>
              </w:tabs>
              <w:suppressAutoHyphens/>
              <w:spacing w:after="0" w:line="240" w:lineRule="auto"/>
              <w:jc w:val="both"/>
            </w:pPr>
            <w:r w:rsidRPr="00754AF3">
              <w:t>Poslovno okruženje i turistička atraktivnost</w:t>
            </w:r>
          </w:p>
          <w:p w:rsidR="00B4625B" w:rsidRPr="00754AF3" w:rsidRDefault="00B4625B" w:rsidP="00B4625B">
            <w:pPr>
              <w:tabs>
                <w:tab w:val="left" w:pos="720"/>
              </w:tabs>
              <w:suppressAutoHyphens/>
              <w:spacing w:after="0" w:line="240" w:lineRule="auto"/>
              <w:ind w:left="720"/>
              <w:jc w:val="both"/>
            </w:pPr>
            <w:r w:rsidRPr="00754AF3">
              <w:t>Razvojni proces i studije izved</w:t>
            </w:r>
            <w:r w:rsidR="00A1643E">
              <w:t>ivosti</w:t>
            </w:r>
          </w:p>
          <w:p w:rsidR="00B4625B" w:rsidRPr="00754AF3" w:rsidRDefault="00B4625B" w:rsidP="00B4625B">
            <w:pPr>
              <w:tabs>
                <w:tab w:val="left" w:pos="720"/>
              </w:tabs>
              <w:suppressAutoHyphens/>
              <w:spacing w:after="0" w:line="240" w:lineRule="auto"/>
              <w:ind w:left="720"/>
              <w:jc w:val="both"/>
            </w:pPr>
            <w:r w:rsidRPr="00754AF3">
              <w:t>Financiranje i dizajn</w:t>
            </w:r>
          </w:p>
          <w:p w:rsidR="00B4625B" w:rsidRPr="00754AF3" w:rsidRDefault="00B4625B" w:rsidP="00B4625B">
            <w:pPr>
              <w:numPr>
                <w:ilvl w:val="0"/>
                <w:numId w:val="2"/>
              </w:numPr>
              <w:tabs>
                <w:tab w:val="left" w:pos="720"/>
              </w:tabs>
              <w:suppressAutoHyphens/>
              <w:spacing w:after="0" w:line="240" w:lineRule="auto"/>
              <w:jc w:val="both"/>
            </w:pPr>
            <w:r w:rsidRPr="00754AF3">
              <w:t>Čimbenici utjecaja na uspjeh/neuspjeh atrakcije</w:t>
            </w:r>
          </w:p>
          <w:p w:rsidR="00B4625B" w:rsidRPr="00754AF3" w:rsidRDefault="00B4625B" w:rsidP="00B4625B">
            <w:pPr>
              <w:numPr>
                <w:ilvl w:val="0"/>
                <w:numId w:val="2"/>
              </w:numPr>
              <w:tabs>
                <w:tab w:val="left" w:pos="720"/>
              </w:tabs>
              <w:suppressAutoHyphens/>
              <w:spacing w:after="0" w:line="240" w:lineRule="auto"/>
              <w:jc w:val="both"/>
            </w:pPr>
            <w:r w:rsidRPr="00754AF3">
              <w:t>Projektni menadžment</w:t>
            </w:r>
          </w:p>
          <w:p w:rsidR="00B4625B" w:rsidRPr="00754AF3" w:rsidRDefault="00B4625B" w:rsidP="00B4625B">
            <w:pPr>
              <w:numPr>
                <w:ilvl w:val="0"/>
                <w:numId w:val="2"/>
              </w:numPr>
              <w:tabs>
                <w:tab w:val="left" w:pos="720"/>
              </w:tabs>
              <w:suppressAutoHyphens/>
              <w:spacing w:after="0" w:line="240" w:lineRule="auto"/>
              <w:jc w:val="both"/>
            </w:pPr>
            <w:r w:rsidRPr="00754AF3">
              <w:t>Uloga ljudskih resursa u upravljanju atrakcijama</w:t>
            </w:r>
          </w:p>
          <w:p w:rsidR="00B4625B" w:rsidRPr="00754AF3" w:rsidRDefault="00B4625B" w:rsidP="00B4625B">
            <w:pPr>
              <w:numPr>
                <w:ilvl w:val="0"/>
                <w:numId w:val="2"/>
              </w:numPr>
              <w:tabs>
                <w:tab w:val="left" w:pos="720"/>
              </w:tabs>
              <w:suppressAutoHyphens/>
              <w:spacing w:after="0" w:line="240" w:lineRule="auto"/>
              <w:jc w:val="both"/>
            </w:pPr>
            <w:r w:rsidRPr="00754AF3">
              <w:lastRenderedPageBreak/>
              <w:t>Strateški marketing i uloga</w:t>
            </w:r>
          </w:p>
          <w:p w:rsidR="00B4625B" w:rsidRPr="00754AF3" w:rsidRDefault="00B4625B" w:rsidP="00B4625B">
            <w:pPr>
              <w:numPr>
                <w:ilvl w:val="0"/>
                <w:numId w:val="2"/>
              </w:numPr>
              <w:tabs>
                <w:tab w:val="left" w:pos="720"/>
              </w:tabs>
              <w:suppressAutoHyphens/>
              <w:spacing w:after="0" w:line="240" w:lineRule="auto"/>
              <w:jc w:val="both"/>
            </w:pPr>
            <w:r w:rsidRPr="00754AF3">
              <w:t>Upravljanje kvalitetom u turističkim atrakcijama</w:t>
            </w:r>
          </w:p>
          <w:p w:rsidR="00B4625B" w:rsidRDefault="00B4625B" w:rsidP="00B4625B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</w:pPr>
            <w:r w:rsidRPr="00754AF3">
              <w:t xml:space="preserve">Upravljanje promjenama i planiranje </w:t>
            </w:r>
          </w:p>
          <w:p w:rsidR="00EA6C80" w:rsidRPr="00EA6C80" w:rsidRDefault="00B4625B" w:rsidP="00B4625B">
            <w:pPr>
              <w:numPr>
                <w:ilvl w:val="0"/>
                <w:numId w:val="2"/>
              </w:numPr>
              <w:tabs>
                <w:tab w:val="left" w:pos="720"/>
              </w:tabs>
              <w:suppressAutoHyphens/>
              <w:spacing w:after="0" w:line="240" w:lineRule="auto"/>
              <w:jc w:val="both"/>
            </w:pPr>
            <w:r w:rsidRPr="00754AF3">
              <w:t>Dugoročni razvoj i perspektive</w:t>
            </w:r>
          </w:p>
        </w:tc>
      </w:tr>
      <w:tr w:rsidR="00EA6C80" w:rsidRPr="00EA6C80" w:rsidTr="004A7F97">
        <w:tc>
          <w:tcPr>
            <w:tcW w:w="253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6C80" w:rsidRPr="00EA6C80" w:rsidRDefault="00EA6C80" w:rsidP="00EA6C80">
            <w:pPr>
              <w:spacing w:after="0" w:line="240" w:lineRule="auto"/>
            </w:pPr>
            <w:r w:rsidRPr="00EA6C80">
              <w:lastRenderedPageBreak/>
              <w:t>Planirane aktivnosti</w:t>
            </w:r>
            <w:r w:rsidRPr="00B337D1">
              <w:rPr>
                <w:lang w:val="it-IT"/>
              </w:rPr>
              <w:t>,</w:t>
            </w:r>
          </w:p>
          <w:p w:rsidR="00EA6C80" w:rsidRPr="00EA6C80" w:rsidRDefault="00EA6C80" w:rsidP="00EA6C80">
            <w:pPr>
              <w:spacing w:after="0" w:line="240" w:lineRule="auto"/>
            </w:pPr>
            <w:r w:rsidRPr="00B337D1">
              <w:rPr>
                <w:lang w:val="it-IT"/>
              </w:rPr>
              <w:t xml:space="preserve">metode </w:t>
            </w:r>
            <w:r w:rsidRPr="00EA6C80">
              <w:t>učenja i poučavanja i načini vrednovanja</w:t>
            </w:r>
          </w:p>
          <w:p w:rsidR="00EA6C80" w:rsidRPr="00EA6C80" w:rsidRDefault="00EA6C80" w:rsidP="00EA6C80">
            <w:pPr>
              <w:spacing w:after="0" w:line="240" w:lineRule="auto"/>
            </w:pPr>
            <w:r w:rsidRPr="00EA6C80">
              <w:rPr>
                <w:lang w:val="en-US"/>
              </w:rPr>
              <w:t>(</w:t>
            </w:r>
            <w:proofErr w:type="spellStart"/>
            <w:r w:rsidRPr="00EA6C80">
              <w:rPr>
                <w:lang w:val="en-US"/>
              </w:rPr>
              <w:t>alternativno</w:t>
            </w:r>
            <w:proofErr w:type="spellEnd"/>
            <w:r w:rsidRPr="00EA6C80">
              <w:rPr>
                <w:lang w:val="en-US"/>
              </w:rPr>
              <w:t xml:space="preserve"> </w:t>
            </w:r>
            <w:proofErr w:type="spellStart"/>
            <w:r w:rsidRPr="00EA6C80">
              <w:rPr>
                <w:lang w:val="en-US"/>
              </w:rPr>
              <w:t>stjecanje</w:t>
            </w:r>
            <w:proofErr w:type="spellEnd"/>
            <w:r w:rsidRPr="00EA6C80">
              <w:t xml:space="preserve"> navesti u studentskim obvezama</w:t>
            </w:r>
            <w:r w:rsidRPr="00EA6C80">
              <w:rPr>
                <w:lang w:val="en-US"/>
              </w:rPr>
              <w:t>)</w:t>
            </w:r>
          </w:p>
        </w:tc>
        <w:tc>
          <w:tcPr>
            <w:tcW w:w="25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6C80" w:rsidRPr="00EA6C80" w:rsidRDefault="00EA6C80" w:rsidP="00EA6C80">
            <w:pPr>
              <w:spacing w:after="0" w:line="240" w:lineRule="auto"/>
            </w:pPr>
            <w:r w:rsidRPr="00EA6C80">
              <w:rPr>
                <w:b/>
                <w:bCs/>
              </w:rPr>
              <w:t>Obveze</w:t>
            </w:r>
            <w:r w:rsidRPr="00EA6C80">
              <w:rPr>
                <w:b/>
                <w:bCs/>
                <w:lang w:val="en-US"/>
              </w:rPr>
              <w:t xml:space="preserve"> </w:t>
            </w:r>
          </w:p>
          <w:p w:rsidR="00EA6C80" w:rsidRPr="00EA6C80" w:rsidRDefault="00EA6C80" w:rsidP="00EA6C80">
            <w:pPr>
              <w:spacing w:after="0" w:line="240" w:lineRule="auto"/>
            </w:pPr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6C80" w:rsidRPr="00EA6C80" w:rsidRDefault="00EA6C80" w:rsidP="00EA6C80">
            <w:pPr>
              <w:spacing w:after="0" w:line="240" w:lineRule="auto"/>
            </w:pPr>
            <w:r w:rsidRPr="00EA6C80">
              <w:rPr>
                <w:b/>
                <w:bCs/>
              </w:rPr>
              <w:t>Ishodi</w:t>
            </w:r>
          </w:p>
          <w:p w:rsidR="00EA6C80" w:rsidRPr="00EA6C80" w:rsidRDefault="00EA6C80" w:rsidP="00EA6C80">
            <w:pPr>
              <w:spacing w:after="0" w:line="240" w:lineRule="auto"/>
            </w:pPr>
          </w:p>
        </w:tc>
        <w:tc>
          <w:tcPr>
            <w:tcW w:w="6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6C80" w:rsidRPr="00EA6C80" w:rsidRDefault="00EA6C80" w:rsidP="00EA6C80">
            <w:pPr>
              <w:spacing w:after="0" w:line="240" w:lineRule="auto"/>
            </w:pPr>
            <w:r w:rsidRPr="00EA6C80">
              <w:rPr>
                <w:b/>
                <w:bCs/>
              </w:rPr>
              <w:t>Sati</w:t>
            </w:r>
          </w:p>
        </w:tc>
        <w:tc>
          <w:tcPr>
            <w:tcW w:w="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6C80" w:rsidRPr="00EA6C80" w:rsidRDefault="00EA6C80" w:rsidP="00F543FE">
            <w:pPr>
              <w:spacing w:after="0" w:line="240" w:lineRule="auto"/>
            </w:pPr>
            <w:r w:rsidRPr="00EA6C80">
              <w:rPr>
                <w:b/>
                <w:bCs/>
              </w:rPr>
              <w:t>ECTS</w:t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6C80" w:rsidRPr="00EA6C80" w:rsidRDefault="00EA6C80" w:rsidP="00EA6C80">
            <w:pPr>
              <w:spacing w:after="0" w:line="240" w:lineRule="auto"/>
            </w:pPr>
            <w:r w:rsidRPr="00EA6C80">
              <w:rPr>
                <w:b/>
                <w:bCs/>
              </w:rPr>
              <w:t>Maksimalni udio u ocjeni</w:t>
            </w:r>
            <w:r w:rsidRPr="00EA6C80">
              <w:rPr>
                <w:b/>
                <w:bCs/>
                <w:lang w:val="en-US"/>
              </w:rPr>
              <w:t xml:space="preserve"> (%)</w:t>
            </w:r>
          </w:p>
        </w:tc>
      </w:tr>
      <w:tr w:rsidR="004A7F97" w:rsidRPr="00EA6C80" w:rsidTr="004A7F97">
        <w:tc>
          <w:tcPr>
            <w:tcW w:w="253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A7F97" w:rsidRPr="00EA6C80" w:rsidRDefault="004A7F97" w:rsidP="004A7F97">
            <w:pPr>
              <w:spacing w:after="0" w:line="240" w:lineRule="auto"/>
            </w:pPr>
          </w:p>
        </w:tc>
        <w:tc>
          <w:tcPr>
            <w:tcW w:w="25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7F97" w:rsidRPr="00733A4D" w:rsidRDefault="004A7F97" w:rsidP="004A7F97">
            <w:pPr>
              <w:rPr>
                <w:rFonts w:ascii="Times New Roman" w:hAnsi="Times New Roman" w:cs="Times New Roman"/>
              </w:rPr>
            </w:pPr>
            <w:r w:rsidRPr="00733A4D">
              <w:rPr>
                <w:rFonts w:ascii="Times New Roman" w:hAnsi="Times New Roman" w:cs="Times New Roman"/>
              </w:rPr>
              <w:t>Pohađanje (i redovita aktivnost u nastavi) P,S</w:t>
            </w:r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7F97" w:rsidRPr="00733A4D" w:rsidRDefault="004A7F97" w:rsidP="004A7F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3A4D">
              <w:rPr>
                <w:rFonts w:ascii="Times New Roman" w:hAnsi="Times New Roman" w:cs="Times New Roman"/>
              </w:rPr>
              <w:t xml:space="preserve"> 1 </w:t>
            </w:r>
            <w:r w:rsidRPr="00733A4D">
              <w:rPr>
                <w:rFonts w:ascii="Times New Roman" w:hAnsi="Times New Roman" w:cs="Times New Roman"/>
              </w:rPr>
              <w:sym w:font="Symbol" w:char="F02D"/>
            </w:r>
            <w:r w:rsidRPr="00733A4D">
              <w:rPr>
                <w:rFonts w:ascii="Times New Roman" w:hAnsi="Times New Roman" w:cs="Times New Roman"/>
              </w:rPr>
              <w:t xml:space="preserve"> 5</w:t>
            </w:r>
          </w:p>
        </w:tc>
        <w:tc>
          <w:tcPr>
            <w:tcW w:w="6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7F97" w:rsidRPr="00733A4D" w:rsidRDefault="004A7F97" w:rsidP="004A7F97">
            <w:pPr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733A4D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7F97" w:rsidRPr="00733A4D" w:rsidRDefault="004A7F97" w:rsidP="004A7F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3A4D">
              <w:rPr>
                <w:rFonts w:ascii="Times New Roman" w:hAnsi="Times New Roman" w:cs="Times New Roman"/>
              </w:rPr>
              <w:t>1,6</w:t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7F97" w:rsidRPr="00733A4D" w:rsidRDefault="004A7F97" w:rsidP="004A7F97">
            <w:pPr>
              <w:jc w:val="center"/>
              <w:rPr>
                <w:rFonts w:ascii="Times New Roman" w:hAnsi="Times New Roman" w:cs="Times New Roman"/>
              </w:rPr>
            </w:pPr>
            <w:r w:rsidRPr="00733A4D">
              <w:rPr>
                <w:rFonts w:ascii="Times New Roman" w:hAnsi="Times New Roman" w:cs="Times New Roman"/>
              </w:rPr>
              <w:t>5%</w:t>
            </w:r>
          </w:p>
        </w:tc>
      </w:tr>
      <w:tr w:rsidR="004A7F97" w:rsidRPr="00EA6C80" w:rsidTr="004A7F97">
        <w:tc>
          <w:tcPr>
            <w:tcW w:w="253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A7F97" w:rsidRPr="00EA6C80" w:rsidRDefault="004A7F97" w:rsidP="004A7F97">
            <w:pPr>
              <w:spacing w:after="0" w:line="240" w:lineRule="auto"/>
            </w:pPr>
          </w:p>
        </w:tc>
        <w:tc>
          <w:tcPr>
            <w:tcW w:w="25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7F97" w:rsidRPr="00733A4D" w:rsidRDefault="004A7F97" w:rsidP="004A7F97">
            <w:pPr>
              <w:rPr>
                <w:rFonts w:ascii="Times New Roman" w:hAnsi="Times New Roman" w:cs="Times New Roman"/>
              </w:rPr>
            </w:pPr>
            <w:r w:rsidRPr="00733A4D">
              <w:rPr>
                <w:rFonts w:ascii="Times New Roman" w:hAnsi="Times New Roman" w:cs="Times New Roman"/>
              </w:rPr>
              <w:t>Aktivnosti (dodatne kroz primjere prakse, rasprave, radionica)</w:t>
            </w:r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7F97" w:rsidRPr="00733A4D" w:rsidRDefault="004A7F97" w:rsidP="004A7F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3A4D">
              <w:rPr>
                <w:rFonts w:ascii="Times New Roman" w:hAnsi="Times New Roman" w:cs="Times New Roman"/>
              </w:rPr>
              <w:t xml:space="preserve">1 </w:t>
            </w:r>
            <w:r w:rsidRPr="00733A4D">
              <w:rPr>
                <w:rFonts w:ascii="Times New Roman" w:hAnsi="Times New Roman" w:cs="Times New Roman"/>
              </w:rPr>
              <w:sym w:font="Symbol" w:char="F02D"/>
            </w:r>
            <w:r w:rsidRPr="00733A4D">
              <w:rPr>
                <w:rFonts w:ascii="Times New Roman" w:hAnsi="Times New Roman" w:cs="Times New Roman"/>
              </w:rPr>
              <w:t xml:space="preserve"> 5</w:t>
            </w:r>
          </w:p>
        </w:tc>
        <w:tc>
          <w:tcPr>
            <w:tcW w:w="6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7F97" w:rsidRPr="00733A4D" w:rsidRDefault="004A7F97" w:rsidP="004A7F97">
            <w:pPr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733A4D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7F97" w:rsidRPr="00733A4D" w:rsidRDefault="004A7F97" w:rsidP="004A7F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3A4D"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7F97" w:rsidRPr="00733A4D" w:rsidRDefault="004A7F97" w:rsidP="004A7F97">
            <w:pPr>
              <w:jc w:val="center"/>
              <w:rPr>
                <w:rFonts w:ascii="Times New Roman" w:hAnsi="Times New Roman" w:cs="Times New Roman"/>
              </w:rPr>
            </w:pPr>
            <w:r w:rsidRPr="00733A4D">
              <w:rPr>
                <w:rFonts w:ascii="Times New Roman" w:hAnsi="Times New Roman" w:cs="Times New Roman"/>
              </w:rPr>
              <w:t>5%</w:t>
            </w:r>
          </w:p>
        </w:tc>
      </w:tr>
      <w:tr w:rsidR="004A7F97" w:rsidRPr="00EA6C80" w:rsidTr="004A7F97">
        <w:tc>
          <w:tcPr>
            <w:tcW w:w="253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A7F97" w:rsidRPr="00EA6C80" w:rsidRDefault="004A7F97" w:rsidP="004A7F97">
            <w:pPr>
              <w:spacing w:after="0" w:line="240" w:lineRule="auto"/>
            </w:pPr>
          </w:p>
        </w:tc>
        <w:tc>
          <w:tcPr>
            <w:tcW w:w="25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A7F97" w:rsidRPr="00733A4D" w:rsidRDefault="004A7F97" w:rsidP="004A7F97">
            <w:pPr>
              <w:rPr>
                <w:rFonts w:ascii="Times New Roman" w:hAnsi="Times New Roman" w:cs="Times New Roman"/>
              </w:rPr>
            </w:pPr>
            <w:r w:rsidRPr="00733A4D">
              <w:rPr>
                <w:rFonts w:ascii="Times New Roman" w:hAnsi="Times New Roman" w:cs="Times New Roman"/>
              </w:rPr>
              <w:t>Pisani rad (seminarski rad)</w:t>
            </w:r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7F97" w:rsidRPr="00733A4D" w:rsidRDefault="004A7F97" w:rsidP="004A7F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3A4D">
              <w:rPr>
                <w:rFonts w:ascii="Times New Roman" w:hAnsi="Times New Roman" w:cs="Times New Roman"/>
              </w:rPr>
              <w:t xml:space="preserve"> 1 </w:t>
            </w:r>
            <w:r w:rsidRPr="00733A4D">
              <w:rPr>
                <w:rFonts w:ascii="Times New Roman" w:hAnsi="Times New Roman" w:cs="Times New Roman"/>
              </w:rPr>
              <w:sym w:font="Symbol" w:char="F02D"/>
            </w:r>
            <w:r w:rsidRPr="00733A4D">
              <w:rPr>
                <w:rFonts w:ascii="Times New Roman" w:hAnsi="Times New Roman" w:cs="Times New Roman"/>
              </w:rPr>
              <w:t xml:space="preserve"> 5</w:t>
            </w:r>
          </w:p>
        </w:tc>
        <w:tc>
          <w:tcPr>
            <w:tcW w:w="6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7F97" w:rsidRPr="00733A4D" w:rsidRDefault="004A7F97" w:rsidP="004A7F97">
            <w:pPr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733A4D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7F97" w:rsidRPr="00733A4D" w:rsidRDefault="004A7F97" w:rsidP="004A7F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3A4D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7F97" w:rsidRPr="00733A4D" w:rsidRDefault="004A7F97" w:rsidP="004A7F97">
            <w:pPr>
              <w:jc w:val="center"/>
              <w:rPr>
                <w:rFonts w:ascii="Times New Roman" w:hAnsi="Times New Roman" w:cs="Times New Roman"/>
              </w:rPr>
            </w:pPr>
            <w:r w:rsidRPr="00733A4D">
              <w:rPr>
                <w:rFonts w:ascii="Times New Roman" w:hAnsi="Times New Roman" w:cs="Times New Roman"/>
              </w:rPr>
              <w:t>20%</w:t>
            </w:r>
          </w:p>
        </w:tc>
      </w:tr>
      <w:tr w:rsidR="004A7F97" w:rsidRPr="00EA6C80" w:rsidTr="004A7F97">
        <w:tc>
          <w:tcPr>
            <w:tcW w:w="253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A7F97" w:rsidRPr="00EA6C80" w:rsidRDefault="004A7F97" w:rsidP="004A7F97">
            <w:pPr>
              <w:spacing w:after="0" w:line="240" w:lineRule="auto"/>
            </w:pPr>
          </w:p>
        </w:tc>
        <w:tc>
          <w:tcPr>
            <w:tcW w:w="25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7F97" w:rsidRPr="00733A4D" w:rsidRDefault="004A7F97" w:rsidP="004A7F97">
            <w:pPr>
              <w:rPr>
                <w:rFonts w:ascii="Times New Roman" w:hAnsi="Times New Roman" w:cs="Times New Roman"/>
              </w:rPr>
            </w:pPr>
            <w:r w:rsidRPr="00733A4D">
              <w:rPr>
                <w:rFonts w:ascii="Times New Roman" w:hAnsi="Times New Roman" w:cs="Times New Roman"/>
              </w:rPr>
              <w:t xml:space="preserve">Usmena izlaganja </w:t>
            </w:r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7F97" w:rsidRPr="00733A4D" w:rsidRDefault="004A7F97" w:rsidP="004A7F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3A4D">
              <w:rPr>
                <w:rFonts w:ascii="Times New Roman" w:hAnsi="Times New Roman" w:cs="Times New Roman"/>
              </w:rPr>
              <w:t xml:space="preserve"> 1 </w:t>
            </w:r>
            <w:r w:rsidRPr="00733A4D">
              <w:rPr>
                <w:rFonts w:ascii="Times New Roman" w:hAnsi="Times New Roman" w:cs="Times New Roman"/>
              </w:rPr>
              <w:sym w:font="Symbol" w:char="F02D"/>
            </w:r>
            <w:r w:rsidRPr="00733A4D">
              <w:rPr>
                <w:rFonts w:ascii="Times New Roman" w:hAnsi="Times New Roman" w:cs="Times New Roman"/>
              </w:rPr>
              <w:t xml:space="preserve"> 5</w:t>
            </w:r>
          </w:p>
        </w:tc>
        <w:tc>
          <w:tcPr>
            <w:tcW w:w="6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7F97" w:rsidRPr="00733A4D" w:rsidRDefault="004A7F97" w:rsidP="004A7F97">
            <w:pPr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733A4D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7F97" w:rsidRPr="00733A4D" w:rsidRDefault="004A7F97" w:rsidP="004A7F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3A4D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7F97" w:rsidRPr="00733A4D" w:rsidRDefault="004A7F97" w:rsidP="004A7F97">
            <w:pPr>
              <w:jc w:val="center"/>
              <w:rPr>
                <w:rFonts w:ascii="Times New Roman" w:hAnsi="Times New Roman" w:cs="Times New Roman"/>
              </w:rPr>
            </w:pPr>
            <w:r w:rsidRPr="00733A4D">
              <w:rPr>
                <w:rFonts w:ascii="Times New Roman" w:hAnsi="Times New Roman" w:cs="Times New Roman"/>
              </w:rPr>
              <w:t xml:space="preserve">20% </w:t>
            </w:r>
          </w:p>
        </w:tc>
      </w:tr>
      <w:tr w:rsidR="004A7F97" w:rsidRPr="00EA6C80" w:rsidTr="004A7F97">
        <w:tc>
          <w:tcPr>
            <w:tcW w:w="253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A7F97" w:rsidRPr="00EA6C80" w:rsidRDefault="004A7F97" w:rsidP="004A7F97">
            <w:pPr>
              <w:spacing w:after="0" w:line="240" w:lineRule="auto"/>
            </w:pPr>
          </w:p>
        </w:tc>
        <w:tc>
          <w:tcPr>
            <w:tcW w:w="35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7F97" w:rsidRPr="00733A4D" w:rsidRDefault="004A7F97" w:rsidP="004A7F97">
            <w:pPr>
              <w:rPr>
                <w:rFonts w:ascii="Times New Roman" w:hAnsi="Times New Roman" w:cs="Times New Roman"/>
              </w:rPr>
            </w:pPr>
            <w:r w:rsidRPr="00733A4D">
              <w:rPr>
                <w:rFonts w:ascii="Times New Roman" w:hAnsi="Times New Roman" w:cs="Times New Roman"/>
              </w:rPr>
              <w:t xml:space="preserve">KOLOKVIJ I i II </w:t>
            </w:r>
          </w:p>
          <w:p w:rsidR="004A7F97" w:rsidRDefault="004A7F97" w:rsidP="004A7F97">
            <w:pPr>
              <w:rPr>
                <w:rFonts w:ascii="Times New Roman" w:hAnsi="Times New Roman" w:cs="Times New Roman"/>
              </w:rPr>
            </w:pPr>
            <w:r w:rsidRPr="00733A4D">
              <w:rPr>
                <w:rFonts w:ascii="Times New Roman" w:hAnsi="Times New Roman" w:cs="Times New Roman"/>
              </w:rPr>
              <w:t>ili pisani ispit </w:t>
            </w:r>
            <w:r>
              <w:rPr>
                <w:rFonts w:ascii="Times New Roman" w:hAnsi="Times New Roman" w:cs="Times New Roman"/>
              </w:rPr>
              <w:t xml:space="preserve">                        </w:t>
            </w:r>
            <w:r w:rsidRPr="00733A4D">
              <w:rPr>
                <w:rFonts w:ascii="Times New Roman" w:hAnsi="Times New Roman" w:cs="Times New Roman"/>
              </w:rPr>
              <w:t xml:space="preserve">1 </w:t>
            </w:r>
            <w:r w:rsidRPr="00733A4D">
              <w:rPr>
                <w:rFonts w:ascii="Times New Roman" w:hAnsi="Times New Roman" w:cs="Times New Roman"/>
              </w:rPr>
              <w:sym w:font="Symbol" w:char="F02D"/>
            </w:r>
            <w:r w:rsidRPr="00733A4D">
              <w:rPr>
                <w:rFonts w:ascii="Times New Roman" w:hAnsi="Times New Roman" w:cs="Times New Roman"/>
              </w:rPr>
              <w:t xml:space="preserve"> 5</w:t>
            </w:r>
          </w:p>
          <w:p w:rsidR="004A7F97" w:rsidRDefault="004A7F97" w:rsidP="004A7F97">
            <w:pPr>
              <w:rPr>
                <w:rFonts w:ascii="Times New Roman" w:hAnsi="Times New Roman" w:cs="Times New Roman"/>
              </w:rPr>
            </w:pPr>
          </w:p>
          <w:p w:rsidR="004A7F97" w:rsidRPr="00733A4D" w:rsidRDefault="004A7F97" w:rsidP="004A7F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UKUPNO                               </w:t>
            </w:r>
          </w:p>
        </w:tc>
        <w:tc>
          <w:tcPr>
            <w:tcW w:w="6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7F97" w:rsidRDefault="004A7F97" w:rsidP="000E3151">
            <w:pPr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733A4D">
              <w:rPr>
                <w:rFonts w:ascii="Times New Roman" w:hAnsi="Times New Roman" w:cs="Times New Roman"/>
              </w:rPr>
              <w:t>58</w:t>
            </w:r>
          </w:p>
          <w:p w:rsidR="004A7F97" w:rsidRDefault="004A7F97" w:rsidP="000E3151">
            <w:pPr>
              <w:spacing w:line="256" w:lineRule="auto"/>
              <w:jc w:val="center"/>
              <w:rPr>
                <w:rFonts w:ascii="Times New Roman" w:hAnsi="Times New Roman" w:cs="Times New Roman"/>
              </w:rPr>
            </w:pPr>
          </w:p>
          <w:p w:rsidR="000E3151" w:rsidRDefault="000E3151" w:rsidP="000E3151">
            <w:pPr>
              <w:spacing w:line="256" w:lineRule="auto"/>
              <w:jc w:val="center"/>
              <w:rPr>
                <w:rFonts w:ascii="Times New Roman" w:hAnsi="Times New Roman" w:cs="Times New Roman"/>
              </w:rPr>
            </w:pPr>
          </w:p>
          <w:p w:rsidR="004A7F97" w:rsidRPr="00733A4D" w:rsidRDefault="000E3151" w:rsidP="000E3151">
            <w:pPr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168</w:t>
            </w:r>
          </w:p>
        </w:tc>
        <w:tc>
          <w:tcPr>
            <w:tcW w:w="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7F97" w:rsidRDefault="004A7F97" w:rsidP="000E31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3A4D">
              <w:rPr>
                <w:rFonts w:ascii="Times New Roman" w:hAnsi="Times New Roman" w:cs="Times New Roman"/>
              </w:rPr>
              <w:t>2,1</w:t>
            </w:r>
          </w:p>
          <w:p w:rsidR="000E3151" w:rsidRDefault="000E3151" w:rsidP="000E31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E3151" w:rsidRDefault="000E3151" w:rsidP="000E31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E3151" w:rsidRDefault="000E3151" w:rsidP="000E31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E3151" w:rsidRDefault="000E3151" w:rsidP="000E31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E3151" w:rsidRPr="00733A4D" w:rsidRDefault="000E3151" w:rsidP="000E31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7F97" w:rsidRPr="00733A4D" w:rsidRDefault="004A7F97" w:rsidP="000E3151">
            <w:pPr>
              <w:jc w:val="center"/>
              <w:rPr>
                <w:rFonts w:ascii="Times New Roman" w:hAnsi="Times New Roman" w:cs="Times New Roman"/>
              </w:rPr>
            </w:pPr>
            <w:r w:rsidRPr="00733A4D">
              <w:rPr>
                <w:rFonts w:ascii="Times New Roman" w:hAnsi="Times New Roman" w:cs="Times New Roman"/>
              </w:rPr>
              <w:t>50%</w:t>
            </w:r>
          </w:p>
          <w:p w:rsidR="004A7F97" w:rsidRPr="00733A4D" w:rsidRDefault="004A7F97" w:rsidP="000E3151">
            <w:pPr>
              <w:jc w:val="center"/>
              <w:rPr>
                <w:rFonts w:ascii="Times New Roman" w:hAnsi="Times New Roman" w:cs="Times New Roman"/>
              </w:rPr>
            </w:pPr>
            <w:r w:rsidRPr="00733A4D">
              <w:rPr>
                <w:rFonts w:ascii="Times New Roman" w:hAnsi="Times New Roman" w:cs="Times New Roman"/>
              </w:rPr>
              <w:t>(25+25)</w:t>
            </w:r>
          </w:p>
          <w:p w:rsidR="004A7F97" w:rsidRDefault="004A7F97" w:rsidP="000E3151">
            <w:pPr>
              <w:jc w:val="center"/>
              <w:rPr>
                <w:rFonts w:ascii="Times New Roman" w:hAnsi="Times New Roman" w:cs="Times New Roman"/>
              </w:rPr>
            </w:pPr>
            <w:r w:rsidRPr="00733A4D">
              <w:rPr>
                <w:rFonts w:ascii="Times New Roman" w:hAnsi="Times New Roman" w:cs="Times New Roman"/>
              </w:rPr>
              <w:t>50%</w:t>
            </w:r>
          </w:p>
          <w:p w:rsidR="000E3151" w:rsidRPr="00733A4D" w:rsidRDefault="000E3151" w:rsidP="000E31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0E3151" w:rsidRPr="00EA6C80" w:rsidTr="009B6715">
        <w:tc>
          <w:tcPr>
            <w:tcW w:w="2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E3151" w:rsidRPr="00EA6C80" w:rsidRDefault="000E3151" w:rsidP="000E3151">
            <w:pPr>
              <w:spacing w:after="0" w:line="240" w:lineRule="auto"/>
            </w:pPr>
            <w:r w:rsidRPr="00EA6C80">
              <w:t>Studentske obveze</w:t>
            </w:r>
          </w:p>
        </w:tc>
        <w:tc>
          <w:tcPr>
            <w:tcW w:w="651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E3151" w:rsidRPr="00733A4D" w:rsidRDefault="000E3151" w:rsidP="000E315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3A4D">
              <w:rPr>
                <w:rFonts w:ascii="Times New Roman" w:hAnsi="Times New Roman" w:cs="Times New Roman"/>
              </w:rPr>
              <w:t xml:space="preserve">Dodatna pojašnjenja (kriteriji ocjenjivanja):  </w:t>
            </w:r>
          </w:p>
          <w:p w:rsidR="000E3151" w:rsidRPr="00733A4D" w:rsidRDefault="000E3151" w:rsidP="000E315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76307" w:rsidRDefault="00876307" w:rsidP="0087630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Prisustvo na nastavi:</w:t>
            </w:r>
          </w:p>
          <w:p w:rsidR="00876307" w:rsidRDefault="00876307" w:rsidP="0087630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Studenti su dužni nazočiti na 70% nastavnih aktivnosti. Oni koji ovaj uvjet ne ispune bit će dodijeljen zamjenski zadatak od strane predmetne nastavnice.</w:t>
            </w:r>
          </w:p>
          <w:p w:rsidR="000E3151" w:rsidRPr="00733A4D" w:rsidRDefault="000E3151" w:rsidP="000E3151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CB6BA5">
              <w:rPr>
                <w:rFonts w:ascii="Times New Roman" w:hAnsi="Times New Roman" w:cs="Times New Roman"/>
                <w:b/>
                <w:u w:val="single"/>
              </w:rPr>
              <w:t>Seminarski rad</w:t>
            </w:r>
            <w:r w:rsidRPr="00733A4D">
              <w:rPr>
                <w:rFonts w:ascii="Times New Roman" w:hAnsi="Times New Roman" w:cs="Times New Roman"/>
              </w:rPr>
              <w:t xml:space="preserve"> dodjeljuje predmetni </w:t>
            </w:r>
            <w:r>
              <w:rPr>
                <w:rFonts w:ascii="Times New Roman" w:hAnsi="Times New Roman" w:cs="Times New Roman"/>
              </w:rPr>
              <w:t>nastavnik</w:t>
            </w:r>
            <w:r w:rsidRPr="00733A4D">
              <w:rPr>
                <w:rFonts w:ascii="Times New Roman" w:hAnsi="Times New Roman" w:cs="Times New Roman"/>
              </w:rPr>
              <w:t xml:space="preserve"> i prati ga do njegove finalizacije. Seminarski rad izrađuje se u pisanom obliku prema naputku koji je studentima prezentiran na prvom </w:t>
            </w:r>
            <w:r>
              <w:rPr>
                <w:rFonts w:ascii="Times New Roman" w:hAnsi="Times New Roman" w:cs="Times New Roman"/>
              </w:rPr>
              <w:t xml:space="preserve">satu seminarske nastave. </w:t>
            </w:r>
            <w:r w:rsidRPr="00733A4D">
              <w:rPr>
                <w:rFonts w:ascii="Times New Roman" w:hAnsi="Times New Roman" w:cs="Times New Roman"/>
                <w:lang w:val="pl-PL"/>
              </w:rPr>
              <w:t>U slučaju ozbiljnijih sadržajnih i metodoloških propusta seminarski rad se vraća studentu na ispravak po danim uputama.</w:t>
            </w:r>
          </w:p>
          <w:p w:rsidR="000E3151" w:rsidRPr="00733A4D" w:rsidRDefault="000E3151" w:rsidP="000E3151">
            <w:pPr>
              <w:jc w:val="both"/>
              <w:rPr>
                <w:rFonts w:ascii="Times New Roman" w:hAnsi="Times New Roman" w:cs="Times New Roman"/>
                <w:bCs/>
                <w:noProof/>
                <w:lang w:val="pl-PL"/>
              </w:rPr>
            </w:pPr>
            <w:r w:rsidRPr="00733A4D">
              <w:rPr>
                <w:rFonts w:ascii="Times New Roman" w:hAnsi="Times New Roman" w:cs="Times New Roman"/>
                <w:bCs/>
                <w:noProof/>
                <w:lang w:val="pl-PL"/>
              </w:rPr>
              <w:t xml:space="preserve">Studenti koji su položili oba kolokvija donose finalnu verziju seminarskog rada (odobrenu od strane </w:t>
            </w:r>
            <w:r>
              <w:rPr>
                <w:rFonts w:ascii="Times New Roman" w:hAnsi="Times New Roman" w:cs="Times New Roman"/>
                <w:bCs/>
                <w:noProof/>
                <w:lang w:val="pl-PL"/>
              </w:rPr>
              <w:t>nastavnika</w:t>
            </w:r>
            <w:r w:rsidRPr="00733A4D">
              <w:rPr>
                <w:rFonts w:ascii="Times New Roman" w:hAnsi="Times New Roman" w:cs="Times New Roman"/>
                <w:bCs/>
                <w:noProof/>
                <w:lang w:val="pl-PL"/>
              </w:rPr>
              <w:t>) na upis ocjene.</w:t>
            </w:r>
          </w:p>
          <w:p w:rsidR="000E3151" w:rsidRPr="00733A4D" w:rsidRDefault="000E3151" w:rsidP="000E3151">
            <w:pPr>
              <w:rPr>
                <w:rFonts w:ascii="Times New Roman" w:hAnsi="Times New Roman" w:cs="Times New Roman"/>
                <w:noProof/>
                <w:lang w:val="es-ES"/>
              </w:rPr>
            </w:pPr>
            <w:r w:rsidRPr="00CB6BA5">
              <w:rPr>
                <w:rFonts w:ascii="Times New Roman" w:hAnsi="Times New Roman" w:cs="Times New Roman"/>
                <w:b/>
                <w:noProof/>
                <w:lang w:val="pl-PL"/>
              </w:rPr>
              <w:t>Seminarski rad</w:t>
            </w:r>
            <w:r w:rsidRPr="00733A4D">
              <w:rPr>
                <w:rFonts w:ascii="Times New Roman" w:hAnsi="Times New Roman" w:cs="Times New Roman"/>
                <w:noProof/>
                <w:lang w:val="es-ES"/>
              </w:rPr>
              <w:t xml:space="preserve"> </w:t>
            </w:r>
            <w:r w:rsidRPr="00733A4D">
              <w:rPr>
                <w:rFonts w:ascii="Times New Roman" w:hAnsi="Times New Roman" w:cs="Times New Roman"/>
                <w:noProof/>
                <w:lang w:val="pl-PL"/>
              </w:rPr>
              <w:t>ocjenjuje</w:t>
            </w:r>
            <w:r w:rsidRPr="00733A4D">
              <w:rPr>
                <w:rFonts w:ascii="Times New Roman" w:hAnsi="Times New Roman" w:cs="Times New Roman"/>
                <w:noProof/>
                <w:lang w:val="es-ES"/>
              </w:rPr>
              <w:t xml:space="preserve"> </w:t>
            </w:r>
            <w:r w:rsidRPr="00733A4D">
              <w:rPr>
                <w:rFonts w:ascii="Times New Roman" w:hAnsi="Times New Roman" w:cs="Times New Roman"/>
                <w:noProof/>
                <w:lang w:val="pl-PL"/>
              </w:rPr>
              <w:t>se</w:t>
            </w:r>
            <w:r w:rsidRPr="00733A4D">
              <w:rPr>
                <w:rFonts w:ascii="Times New Roman" w:hAnsi="Times New Roman" w:cs="Times New Roman"/>
                <w:noProof/>
                <w:lang w:val="es-ES"/>
              </w:rPr>
              <w:t xml:space="preserve"> </w:t>
            </w:r>
            <w:r w:rsidRPr="00733A4D">
              <w:rPr>
                <w:rFonts w:ascii="Times New Roman" w:hAnsi="Times New Roman" w:cs="Times New Roman"/>
                <w:noProof/>
                <w:lang w:val="pl-PL"/>
              </w:rPr>
              <w:t>ovako</w:t>
            </w:r>
            <w:r w:rsidRPr="00733A4D">
              <w:rPr>
                <w:rFonts w:ascii="Times New Roman" w:hAnsi="Times New Roman" w:cs="Times New Roman"/>
                <w:noProof/>
                <w:lang w:val="es-ES"/>
              </w:rPr>
              <w:t>:</w:t>
            </w:r>
          </w:p>
          <w:p w:rsidR="000E3151" w:rsidRPr="00733A4D" w:rsidRDefault="000E3151" w:rsidP="000E3151">
            <w:pPr>
              <w:ind w:left="900" w:hanging="540"/>
              <w:rPr>
                <w:rFonts w:ascii="Times New Roman" w:hAnsi="Times New Roman" w:cs="Times New Roman"/>
                <w:noProof/>
                <w:lang w:val="es-ES"/>
              </w:rPr>
            </w:pPr>
            <w:r w:rsidRPr="00733A4D">
              <w:rPr>
                <w:rFonts w:ascii="Times New Roman" w:hAnsi="Times New Roman" w:cs="Times New Roman"/>
                <w:noProof/>
                <w:lang w:val="es-ES"/>
              </w:rPr>
              <w:t xml:space="preserve">0% = </w:t>
            </w:r>
            <w:r w:rsidRPr="00733A4D">
              <w:rPr>
                <w:rFonts w:ascii="Times New Roman" w:hAnsi="Times New Roman" w:cs="Times New Roman"/>
                <w:noProof/>
                <w:lang w:val="pl-PL"/>
              </w:rPr>
              <w:t>Student/studentica nije napravio/la seminarski rad</w:t>
            </w:r>
          </w:p>
          <w:p w:rsidR="000E3151" w:rsidRPr="00733A4D" w:rsidRDefault="000E3151" w:rsidP="000E3151">
            <w:pPr>
              <w:ind w:left="900" w:hanging="540"/>
              <w:rPr>
                <w:rFonts w:ascii="Times New Roman" w:hAnsi="Times New Roman" w:cs="Times New Roman"/>
                <w:noProof/>
                <w:lang w:val="es-ES"/>
              </w:rPr>
            </w:pPr>
            <w:r w:rsidRPr="00733A4D">
              <w:rPr>
                <w:rFonts w:ascii="Times New Roman" w:hAnsi="Times New Roman" w:cs="Times New Roman"/>
                <w:noProof/>
                <w:lang w:val="es-ES"/>
              </w:rPr>
              <w:t xml:space="preserve">5% = </w:t>
            </w:r>
            <w:r w:rsidRPr="00733A4D">
              <w:rPr>
                <w:rFonts w:ascii="Times New Roman" w:hAnsi="Times New Roman" w:cs="Times New Roman"/>
                <w:noProof/>
                <w:lang w:val="pl-PL"/>
              </w:rPr>
              <w:t>Student/studentica nije napravio/la seminarski rad, ali dolazi na konzultacije sa prijedlozima nacrta istraživanja te metodologijom izrade</w:t>
            </w:r>
          </w:p>
          <w:p w:rsidR="000E3151" w:rsidRPr="00733A4D" w:rsidRDefault="000E3151" w:rsidP="000E3151">
            <w:pPr>
              <w:ind w:left="900" w:hanging="540"/>
              <w:rPr>
                <w:rFonts w:ascii="Times New Roman" w:hAnsi="Times New Roman" w:cs="Times New Roman"/>
                <w:noProof/>
                <w:lang w:val="es-ES"/>
              </w:rPr>
            </w:pPr>
            <w:r w:rsidRPr="00733A4D">
              <w:rPr>
                <w:rFonts w:ascii="Times New Roman" w:hAnsi="Times New Roman" w:cs="Times New Roman"/>
                <w:noProof/>
                <w:lang w:val="es-ES"/>
              </w:rPr>
              <w:t xml:space="preserve">10% = </w:t>
            </w:r>
            <w:r w:rsidRPr="00733A4D">
              <w:rPr>
                <w:rFonts w:ascii="Times New Roman" w:hAnsi="Times New Roman" w:cs="Times New Roman"/>
                <w:noProof/>
                <w:lang w:val="pl-PL"/>
              </w:rPr>
              <w:t xml:space="preserve">Student/studentica napravio/la seminarski rad (loše kvalitete) </w:t>
            </w:r>
          </w:p>
          <w:p w:rsidR="000E3151" w:rsidRPr="00733A4D" w:rsidRDefault="000E3151" w:rsidP="000E3151">
            <w:pPr>
              <w:ind w:left="900" w:hanging="540"/>
              <w:rPr>
                <w:rFonts w:ascii="Times New Roman" w:hAnsi="Times New Roman" w:cs="Times New Roman"/>
                <w:noProof/>
                <w:lang w:val="es-ES"/>
              </w:rPr>
            </w:pPr>
            <w:r w:rsidRPr="00733A4D">
              <w:rPr>
                <w:rFonts w:ascii="Times New Roman" w:hAnsi="Times New Roman" w:cs="Times New Roman"/>
                <w:noProof/>
                <w:lang w:val="es-ES"/>
              </w:rPr>
              <w:lastRenderedPageBreak/>
              <w:t xml:space="preserve">15% = </w:t>
            </w:r>
            <w:r w:rsidRPr="00733A4D">
              <w:rPr>
                <w:rFonts w:ascii="Times New Roman" w:hAnsi="Times New Roman" w:cs="Times New Roman"/>
                <w:noProof/>
                <w:lang w:val="pl-PL"/>
              </w:rPr>
              <w:t>Student/studentica napravio/la seminarski rad (srednje kvalitete)</w:t>
            </w:r>
          </w:p>
          <w:p w:rsidR="000E3151" w:rsidRPr="00733A4D" w:rsidRDefault="000E3151" w:rsidP="000E3151">
            <w:pPr>
              <w:ind w:left="900" w:hanging="540"/>
              <w:rPr>
                <w:rFonts w:ascii="Times New Roman" w:hAnsi="Times New Roman" w:cs="Times New Roman"/>
                <w:noProof/>
                <w:lang w:val="pl-PL"/>
              </w:rPr>
            </w:pPr>
            <w:r w:rsidRPr="00733A4D">
              <w:rPr>
                <w:rFonts w:ascii="Times New Roman" w:hAnsi="Times New Roman" w:cs="Times New Roman"/>
                <w:noProof/>
                <w:lang w:val="es-ES"/>
              </w:rPr>
              <w:t>20</w:t>
            </w:r>
            <w:r w:rsidRPr="00733A4D">
              <w:rPr>
                <w:rFonts w:ascii="Times New Roman" w:hAnsi="Times New Roman" w:cs="Times New Roman"/>
                <w:noProof/>
                <w:lang w:val="pl-PL"/>
              </w:rPr>
              <w:t xml:space="preserve">% = Student/studentica napravio/la seminarski rad (visoke kvalitete) </w:t>
            </w:r>
          </w:p>
          <w:p w:rsidR="000E3151" w:rsidRDefault="000E3151" w:rsidP="000E3151">
            <w:pPr>
              <w:rPr>
                <w:rFonts w:ascii="Times New Roman" w:hAnsi="Times New Roman" w:cs="Times New Roman"/>
                <w:lang w:val="pl-PL"/>
              </w:rPr>
            </w:pPr>
          </w:p>
          <w:p w:rsidR="000E3151" w:rsidRDefault="000E3151" w:rsidP="000E3151">
            <w:pPr>
              <w:jc w:val="both"/>
              <w:rPr>
                <w:rFonts w:ascii="Times New Roman" w:hAnsi="Times New Roman" w:cs="Times New Roman"/>
                <w:bCs/>
                <w:noProof/>
                <w:lang w:val="pl-PL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lang w:val="pl-PL"/>
              </w:rPr>
              <w:t>S</w:t>
            </w:r>
            <w:r w:rsidRPr="006A7354">
              <w:rPr>
                <w:rFonts w:ascii="Times New Roman" w:hAnsi="Times New Roman" w:cs="Times New Roman"/>
                <w:b/>
                <w:bCs/>
                <w:noProof/>
                <w:lang w:val="pl-PL"/>
              </w:rPr>
              <w:t>eminarski rad</w:t>
            </w:r>
            <w:r>
              <w:rPr>
                <w:rFonts w:ascii="Times New Roman" w:hAnsi="Times New Roman" w:cs="Times New Roman"/>
                <w:bCs/>
                <w:noProof/>
                <w:lang w:val="pl-PL"/>
              </w:rPr>
              <w:t xml:space="preserve"> (finalna elektronska verzija) šalje se predmetnom nastavniku do 20. siječnja. Rok za predaju tiskane verzije rada je do 31. siječnja (konzultacije predmetnog nastavnika).</w:t>
            </w:r>
          </w:p>
          <w:p w:rsidR="000E3151" w:rsidRPr="00733A4D" w:rsidRDefault="000E3151" w:rsidP="000E3151">
            <w:pPr>
              <w:rPr>
                <w:rFonts w:ascii="Times New Roman" w:hAnsi="Times New Roman" w:cs="Times New Roman"/>
                <w:lang w:val="pl-PL"/>
              </w:rPr>
            </w:pPr>
          </w:p>
          <w:p w:rsidR="000E3151" w:rsidRPr="00733A4D" w:rsidRDefault="000E3151" w:rsidP="000E3151">
            <w:pPr>
              <w:jc w:val="both"/>
              <w:rPr>
                <w:rFonts w:ascii="Times New Roman" w:hAnsi="Times New Roman" w:cs="Times New Roman"/>
                <w:noProof/>
              </w:rPr>
            </w:pPr>
            <w:r w:rsidRPr="00733A4D">
              <w:rPr>
                <w:rFonts w:ascii="Times New Roman" w:hAnsi="Times New Roman" w:cs="Times New Roman"/>
                <w:b/>
                <w:noProof/>
                <w:u w:val="single"/>
              </w:rPr>
              <w:t>Kolokviji</w:t>
            </w:r>
            <w:r w:rsidRPr="00733A4D">
              <w:rPr>
                <w:rFonts w:ascii="Times New Roman" w:hAnsi="Times New Roman" w:cs="Times New Roman"/>
                <w:noProof/>
              </w:rPr>
              <w:t xml:space="preserve"> se ocjenjuju na sljedeći način (ali i detaljnije prema proporcionalnome postotku): primjer se odnosi na jedan kolokvij koji nosi 25% ukupne ocjene; dva položena kolokvija daju 50% ocjene što je ekvivalentno završnom pismenom ispitu. </w:t>
            </w:r>
          </w:p>
          <w:p w:rsidR="000E3151" w:rsidRPr="00733A4D" w:rsidRDefault="000E3151" w:rsidP="000E3151">
            <w:pPr>
              <w:rPr>
                <w:rFonts w:ascii="Times New Roman" w:hAnsi="Times New Roman" w:cs="Times New Roman"/>
                <w:noProof/>
              </w:rPr>
            </w:pPr>
          </w:p>
          <w:p w:rsidR="000E3151" w:rsidRPr="00733A4D" w:rsidRDefault="000E3151" w:rsidP="000E3151">
            <w:pPr>
              <w:rPr>
                <w:rFonts w:ascii="Times New Roman" w:hAnsi="Times New Roman" w:cs="Times New Roman"/>
                <w:noProof/>
              </w:rPr>
            </w:pPr>
            <w:r w:rsidRPr="00733A4D">
              <w:rPr>
                <w:rFonts w:ascii="Times New Roman" w:hAnsi="Times New Roman" w:cs="Times New Roman"/>
                <w:noProof/>
              </w:rPr>
              <w:tab/>
              <w:t xml:space="preserve">manje od 50% točnih odgovora </w:t>
            </w:r>
            <w:r w:rsidRPr="00733A4D">
              <w:rPr>
                <w:rFonts w:ascii="Times New Roman" w:hAnsi="Times New Roman" w:cs="Times New Roman"/>
                <w:noProof/>
              </w:rPr>
              <w:tab/>
              <w:t xml:space="preserve">= </w:t>
            </w:r>
            <w:r w:rsidRPr="00733A4D">
              <w:rPr>
                <w:rFonts w:ascii="Times New Roman" w:hAnsi="Times New Roman" w:cs="Times New Roman"/>
                <w:noProof/>
              </w:rPr>
              <w:tab/>
              <w:t>0%</w:t>
            </w:r>
            <w:r w:rsidRPr="00733A4D">
              <w:rPr>
                <w:rFonts w:ascii="Times New Roman" w:hAnsi="Times New Roman" w:cs="Times New Roman"/>
                <w:noProof/>
              </w:rPr>
              <w:tab/>
              <w:t>ocjene</w:t>
            </w:r>
          </w:p>
          <w:p w:rsidR="000E3151" w:rsidRPr="00733A4D" w:rsidRDefault="000E3151" w:rsidP="000E3151">
            <w:pPr>
              <w:rPr>
                <w:rFonts w:ascii="Times New Roman" w:hAnsi="Times New Roman" w:cs="Times New Roman"/>
                <w:noProof/>
              </w:rPr>
            </w:pPr>
            <w:r w:rsidRPr="00733A4D">
              <w:rPr>
                <w:rFonts w:ascii="Times New Roman" w:hAnsi="Times New Roman" w:cs="Times New Roman"/>
                <w:noProof/>
              </w:rPr>
              <w:tab/>
              <w:t>od 51% do 60%</w:t>
            </w:r>
            <w:r w:rsidRPr="00733A4D">
              <w:rPr>
                <w:rFonts w:ascii="Times New Roman" w:hAnsi="Times New Roman" w:cs="Times New Roman"/>
                <w:noProof/>
              </w:rPr>
              <w:tab/>
            </w:r>
            <w:r w:rsidRPr="00733A4D">
              <w:rPr>
                <w:rFonts w:ascii="Times New Roman" w:hAnsi="Times New Roman" w:cs="Times New Roman"/>
                <w:noProof/>
              </w:rPr>
              <w:tab/>
            </w:r>
            <w:r w:rsidRPr="00733A4D">
              <w:rPr>
                <w:rFonts w:ascii="Times New Roman" w:hAnsi="Times New Roman" w:cs="Times New Roman"/>
                <w:noProof/>
              </w:rPr>
              <w:tab/>
              <w:t>=</w:t>
            </w:r>
            <w:r w:rsidRPr="00733A4D">
              <w:rPr>
                <w:rFonts w:ascii="Times New Roman" w:hAnsi="Times New Roman" w:cs="Times New Roman"/>
                <w:noProof/>
              </w:rPr>
              <w:tab/>
              <w:t>5%</w:t>
            </w:r>
            <w:r w:rsidRPr="00733A4D">
              <w:rPr>
                <w:rFonts w:ascii="Times New Roman" w:hAnsi="Times New Roman" w:cs="Times New Roman"/>
                <w:noProof/>
              </w:rPr>
              <w:tab/>
              <w:t>ocjene</w:t>
            </w:r>
          </w:p>
          <w:p w:rsidR="000E3151" w:rsidRPr="00733A4D" w:rsidRDefault="000E3151" w:rsidP="000E3151">
            <w:pPr>
              <w:rPr>
                <w:rFonts w:ascii="Times New Roman" w:hAnsi="Times New Roman" w:cs="Times New Roman"/>
                <w:noProof/>
              </w:rPr>
            </w:pPr>
            <w:r w:rsidRPr="00733A4D">
              <w:rPr>
                <w:rFonts w:ascii="Times New Roman" w:hAnsi="Times New Roman" w:cs="Times New Roman"/>
                <w:noProof/>
              </w:rPr>
              <w:tab/>
              <w:t>od 61% do 70%</w:t>
            </w:r>
            <w:r w:rsidRPr="00733A4D">
              <w:rPr>
                <w:rFonts w:ascii="Times New Roman" w:hAnsi="Times New Roman" w:cs="Times New Roman"/>
                <w:noProof/>
              </w:rPr>
              <w:tab/>
            </w:r>
            <w:r w:rsidRPr="00733A4D">
              <w:rPr>
                <w:rFonts w:ascii="Times New Roman" w:hAnsi="Times New Roman" w:cs="Times New Roman"/>
                <w:noProof/>
              </w:rPr>
              <w:tab/>
            </w:r>
            <w:r w:rsidRPr="00733A4D">
              <w:rPr>
                <w:rFonts w:ascii="Times New Roman" w:hAnsi="Times New Roman" w:cs="Times New Roman"/>
                <w:noProof/>
              </w:rPr>
              <w:tab/>
              <w:t>=</w:t>
            </w:r>
            <w:r w:rsidRPr="00733A4D">
              <w:rPr>
                <w:rFonts w:ascii="Times New Roman" w:hAnsi="Times New Roman" w:cs="Times New Roman"/>
                <w:noProof/>
              </w:rPr>
              <w:tab/>
              <w:t>10%</w:t>
            </w:r>
            <w:r w:rsidRPr="00733A4D">
              <w:rPr>
                <w:rFonts w:ascii="Times New Roman" w:hAnsi="Times New Roman" w:cs="Times New Roman"/>
                <w:noProof/>
              </w:rPr>
              <w:tab/>
              <w:t>ocjene</w:t>
            </w:r>
          </w:p>
          <w:p w:rsidR="000E3151" w:rsidRPr="00733A4D" w:rsidRDefault="000E3151" w:rsidP="000E3151">
            <w:pPr>
              <w:rPr>
                <w:rFonts w:ascii="Times New Roman" w:hAnsi="Times New Roman" w:cs="Times New Roman"/>
                <w:noProof/>
              </w:rPr>
            </w:pPr>
            <w:r w:rsidRPr="00733A4D">
              <w:rPr>
                <w:rFonts w:ascii="Times New Roman" w:hAnsi="Times New Roman" w:cs="Times New Roman"/>
                <w:noProof/>
              </w:rPr>
              <w:tab/>
              <w:t>od 71% do 80%</w:t>
            </w:r>
            <w:r w:rsidRPr="00733A4D">
              <w:rPr>
                <w:rFonts w:ascii="Times New Roman" w:hAnsi="Times New Roman" w:cs="Times New Roman"/>
                <w:noProof/>
              </w:rPr>
              <w:tab/>
            </w:r>
            <w:r w:rsidRPr="00733A4D">
              <w:rPr>
                <w:rFonts w:ascii="Times New Roman" w:hAnsi="Times New Roman" w:cs="Times New Roman"/>
                <w:noProof/>
              </w:rPr>
              <w:tab/>
            </w:r>
            <w:r w:rsidRPr="00733A4D">
              <w:rPr>
                <w:rFonts w:ascii="Times New Roman" w:hAnsi="Times New Roman" w:cs="Times New Roman"/>
                <w:noProof/>
              </w:rPr>
              <w:tab/>
              <w:t>=</w:t>
            </w:r>
            <w:r w:rsidRPr="00733A4D">
              <w:rPr>
                <w:rFonts w:ascii="Times New Roman" w:hAnsi="Times New Roman" w:cs="Times New Roman"/>
                <w:noProof/>
              </w:rPr>
              <w:tab/>
              <w:t>15%</w:t>
            </w:r>
            <w:r w:rsidRPr="00733A4D">
              <w:rPr>
                <w:rFonts w:ascii="Times New Roman" w:hAnsi="Times New Roman" w:cs="Times New Roman"/>
                <w:noProof/>
              </w:rPr>
              <w:tab/>
              <w:t>ocjene</w:t>
            </w:r>
          </w:p>
          <w:p w:rsidR="000E3151" w:rsidRPr="00733A4D" w:rsidRDefault="000E3151" w:rsidP="000E3151">
            <w:pPr>
              <w:rPr>
                <w:rFonts w:ascii="Times New Roman" w:hAnsi="Times New Roman" w:cs="Times New Roman"/>
                <w:noProof/>
              </w:rPr>
            </w:pPr>
            <w:r w:rsidRPr="00733A4D">
              <w:rPr>
                <w:rFonts w:ascii="Times New Roman" w:hAnsi="Times New Roman" w:cs="Times New Roman"/>
                <w:noProof/>
              </w:rPr>
              <w:tab/>
              <w:t>od 81% do 90%</w:t>
            </w:r>
            <w:r w:rsidRPr="00733A4D">
              <w:rPr>
                <w:rFonts w:ascii="Times New Roman" w:hAnsi="Times New Roman" w:cs="Times New Roman"/>
                <w:noProof/>
              </w:rPr>
              <w:tab/>
            </w:r>
            <w:r w:rsidRPr="00733A4D">
              <w:rPr>
                <w:rFonts w:ascii="Times New Roman" w:hAnsi="Times New Roman" w:cs="Times New Roman"/>
                <w:noProof/>
              </w:rPr>
              <w:tab/>
            </w:r>
            <w:r w:rsidRPr="00733A4D">
              <w:rPr>
                <w:rFonts w:ascii="Times New Roman" w:hAnsi="Times New Roman" w:cs="Times New Roman"/>
                <w:noProof/>
              </w:rPr>
              <w:tab/>
              <w:t>=</w:t>
            </w:r>
            <w:r w:rsidRPr="00733A4D">
              <w:rPr>
                <w:rFonts w:ascii="Times New Roman" w:hAnsi="Times New Roman" w:cs="Times New Roman"/>
                <w:noProof/>
              </w:rPr>
              <w:tab/>
              <w:t>20%</w:t>
            </w:r>
            <w:r w:rsidRPr="00733A4D">
              <w:rPr>
                <w:rFonts w:ascii="Times New Roman" w:hAnsi="Times New Roman" w:cs="Times New Roman"/>
                <w:noProof/>
              </w:rPr>
              <w:tab/>
              <w:t>ocjene</w:t>
            </w:r>
          </w:p>
          <w:p w:rsidR="000E3151" w:rsidRPr="00733A4D" w:rsidRDefault="000E3151" w:rsidP="000E3151">
            <w:pPr>
              <w:rPr>
                <w:rFonts w:ascii="Times New Roman" w:hAnsi="Times New Roman" w:cs="Times New Roman"/>
                <w:noProof/>
                <w:lang w:val="es-ES"/>
              </w:rPr>
            </w:pPr>
            <w:r w:rsidRPr="00733A4D">
              <w:rPr>
                <w:rFonts w:ascii="Times New Roman" w:hAnsi="Times New Roman" w:cs="Times New Roman"/>
                <w:noProof/>
              </w:rPr>
              <w:tab/>
            </w:r>
            <w:r w:rsidRPr="00733A4D">
              <w:rPr>
                <w:rFonts w:ascii="Times New Roman" w:hAnsi="Times New Roman" w:cs="Times New Roman"/>
                <w:noProof/>
                <w:lang w:val="es-ES"/>
              </w:rPr>
              <w:t xml:space="preserve">od </w:t>
            </w:r>
            <w:r>
              <w:rPr>
                <w:rFonts w:ascii="Times New Roman" w:hAnsi="Times New Roman" w:cs="Times New Roman"/>
                <w:noProof/>
                <w:lang w:val="es-ES"/>
              </w:rPr>
              <w:t>91% do 100%</w:t>
            </w:r>
            <w:r>
              <w:rPr>
                <w:rFonts w:ascii="Times New Roman" w:hAnsi="Times New Roman" w:cs="Times New Roman"/>
                <w:noProof/>
                <w:lang w:val="es-ES"/>
              </w:rPr>
              <w:tab/>
            </w:r>
            <w:r>
              <w:rPr>
                <w:rFonts w:ascii="Times New Roman" w:hAnsi="Times New Roman" w:cs="Times New Roman"/>
                <w:noProof/>
                <w:lang w:val="es-ES"/>
              </w:rPr>
              <w:tab/>
            </w:r>
            <w:r w:rsidRPr="00733A4D">
              <w:rPr>
                <w:rFonts w:ascii="Times New Roman" w:hAnsi="Times New Roman" w:cs="Times New Roman"/>
                <w:noProof/>
                <w:lang w:val="es-ES"/>
              </w:rPr>
              <w:t xml:space="preserve">= </w:t>
            </w:r>
            <w:r w:rsidRPr="00733A4D">
              <w:rPr>
                <w:rFonts w:ascii="Times New Roman" w:hAnsi="Times New Roman" w:cs="Times New Roman"/>
                <w:noProof/>
                <w:lang w:val="es-ES"/>
              </w:rPr>
              <w:tab/>
              <w:t xml:space="preserve">25% </w:t>
            </w:r>
            <w:r w:rsidRPr="00733A4D">
              <w:rPr>
                <w:rFonts w:ascii="Times New Roman" w:hAnsi="Times New Roman" w:cs="Times New Roman"/>
                <w:noProof/>
                <w:lang w:val="es-ES"/>
              </w:rPr>
              <w:tab/>
              <w:t>ocjene</w:t>
            </w:r>
          </w:p>
          <w:p w:rsidR="000E3151" w:rsidRPr="00733A4D" w:rsidRDefault="000E3151" w:rsidP="000E3151">
            <w:pPr>
              <w:rPr>
                <w:rFonts w:ascii="Times New Roman" w:hAnsi="Times New Roman" w:cs="Times New Roman"/>
                <w:b/>
                <w:noProof/>
                <w:u w:val="single"/>
                <w:lang w:val="es-ES"/>
              </w:rPr>
            </w:pPr>
          </w:p>
          <w:p w:rsidR="000E3151" w:rsidRDefault="000E3151" w:rsidP="000E3151">
            <w:pPr>
              <w:jc w:val="both"/>
              <w:rPr>
                <w:rFonts w:ascii="Times New Roman" w:hAnsi="Times New Roman" w:cs="Times New Roman"/>
                <w:bCs/>
                <w:noProof/>
                <w:lang w:val="pl-PL"/>
              </w:rPr>
            </w:pPr>
            <w:r w:rsidRPr="00733A4D">
              <w:rPr>
                <w:rFonts w:ascii="Times New Roman" w:hAnsi="Times New Roman" w:cs="Times New Roman"/>
                <w:bCs/>
                <w:noProof/>
                <w:lang w:val="pl-PL"/>
              </w:rPr>
              <w:t xml:space="preserve">Studenti koji ostvare 50 i više % na </w:t>
            </w:r>
            <w:r>
              <w:rPr>
                <w:rFonts w:ascii="Times New Roman" w:hAnsi="Times New Roman" w:cs="Times New Roman"/>
                <w:bCs/>
                <w:noProof/>
                <w:lang w:val="pl-PL"/>
              </w:rPr>
              <w:t>kolokvijima</w:t>
            </w:r>
            <w:r w:rsidRPr="00733A4D">
              <w:rPr>
                <w:rFonts w:ascii="Times New Roman" w:hAnsi="Times New Roman" w:cs="Times New Roman"/>
                <w:bCs/>
                <w:noProof/>
                <w:lang w:val="pl-PL"/>
              </w:rPr>
              <w:t xml:space="preserve"> osloba</w:t>
            </w:r>
            <w:r>
              <w:rPr>
                <w:rFonts w:ascii="Times New Roman" w:hAnsi="Times New Roman" w:cs="Times New Roman"/>
                <w:bCs/>
                <w:noProof/>
                <w:lang w:val="pl-PL"/>
              </w:rPr>
              <w:t xml:space="preserve">đaju se završnog pisanog ispita. </w:t>
            </w:r>
            <w:r w:rsidRPr="00733A4D">
              <w:rPr>
                <w:rFonts w:ascii="Times New Roman" w:hAnsi="Times New Roman" w:cs="Times New Roman"/>
                <w:bCs/>
                <w:noProof/>
                <w:lang w:val="pl-PL"/>
              </w:rPr>
              <w:t xml:space="preserve">Na isti mogu izaći i ukoliko nisu zadovoljni vlastitim postignućima tj. postotkom ocjene. Studenti koji ne polože prvi kolokvij mogu izaći na drugi kolokvij tj. ostvarenjem pozitivne ocjene mogu povećati svoje ukupno vrednovanje. </w:t>
            </w:r>
          </w:p>
          <w:p w:rsidR="000E3151" w:rsidRPr="00733A4D" w:rsidRDefault="000E3151" w:rsidP="000E3151">
            <w:pPr>
              <w:jc w:val="both"/>
              <w:rPr>
                <w:rFonts w:ascii="Times New Roman" w:hAnsi="Times New Roman" w:cs="Times New Roman"/>
                <w:bCs/>
                <w:noProof/>
                <w:lang w:val="pl-PL"/>
              </w:rPr>
            </w:pPr>
          </w:p>
          <w:p w:rsidR="000E3151" w:rsidRPr="00733A4D" w:rsidRDefault="000E3151" w:rsidP="000E3151">
            <w:pPr>
              <w:jc w:val="both"/>
              <w:rPr>
                <w:rFonts w:ascii="Times New Roman" w:hAnsi="Times New Roman" w:cs="Times New Roman"/>
                <w:noProof/>
                <w:lang w:val="pl-PL"/>
              </w:rPr>
            </w:pPr>
            <w:r w:rsidRPr="00733A4D">
              <w:rPr>
                <w:rFonts w:ascii="Times New Roman" w:hAnsi="Times New Roman" w:cs="Times New Roman"/>
                <w:b/>
                <w:bCs/>
                <w:noProof/>
                <w:u w:val="single"/>
                <w:lang w:val="pl-PL"/>
              </w:rPr>
              <w:t>Usmena izlaganja</w:t>
            </w:r>
            <w:r w:rsidRPr="00733A4D">
              <w:rPr>
                <w:rFonts w:ascii="Times New Roman" w:hAnsi="Times New Roman" w:cs="Times New Roman"/>
                <w:noProof/>
                <w:lang w:val="pl-PL"/>
              </w:rPr>
              <w:t xml:space="preserve"> - priprema se vezano za problematiku teme seminarskog rada koji je dodjeljen studentu.</w:t>
            </w:r>
          </w:p>
          <w:p w:rsidR="000E3151" w:rsidRPr="00733A4D" w:rsidRDefault="000E3151" w:rsidP="000E3151">
            <w:pPr>
              <w:rPr>
                <w:rFonts w:ascii="Times New Roman" w:hAnsi="Times New Roman" w:cs="Times New Roman"/>
                <w:noProof/>
                <w:lang w:val="pl-PL"/>
              </w:rPr>
            </w:pPr>
            <w:r w:rsidRPr="00733A4D">
              <w:rPr>
                <w:rFonts w:ascii="Times New Roman" w:hAnsi="Times New Roman" w:cs="Times New Roman"/>
                <w:noProof/>
                <w:lang w:val="pl-PL"/>
              </w:rPr>
              <w:t>0% - 9,9% = Student/studentica izložio/la istraživački rad (niže kvalitete)</w:t>
            </w:r>
          </w:p>
          <w:p w:rsidR="000E3151" w:rsidRPr="00733A4D" w:rsidRDefault="000E3151" w:rsidP="000E3151">
            <w:pPr>
              <w:rPr>
                <w:rFonts w:ascii="Times New Roman" w:hAnsi="Times New Roman" w:cs="Times New Roman"/>
                <w:noProof/>
                <w:lang w:val="pl-PL"/>
              </w:rPr>
            </w:pPr>
            <w:r w:rsidRPr="00733A4D">
              <w:rPr>
                <w:rFonts w:ascii="Times New Roman" w:hAnsi="Times New Roman" w:cs="Times New Roman"/>
                <w:noProof/>
                <w:lang w:val="pl-PL"/>
              </w:rPr>
              <w:t>10% -20% = Student/studentica izložio/la  istraživački rad (više kvalitete)</w:t>
            </w:r>
          </w:p>
          <w:p w:rsidR="000E3151" w:rsidRPr="00733A4D" w:rsidRDefault="000E3151" w:rsidP="000E3151">
            <w:pPr>
              <w:jc w:val="both"/>
              <w:rPr>
                <w:rFonts w:ascii="Times New Roman" w:hAnsi="Times New Roman" w:cs="Times New Roman"/>
              </w:rPr>
            </w:pPr>
            <w:r w:rsidRPr="00733A4D">
              <w:rPr>
                <w:rFonts w:ascii="Times New Roman" w:hAnsi="Times New Roman" w:cs="Times New Roman"/>
              </w:rPr>
              <w:t xml:space="preserve">Student je dužan izložiti </w:t>
            </w:r>
            <w:r w:rsidRPr="00733A4D">
              <w:rPr>
                <w:rFonts w:ascii="Times New Roman" w:hAnsi="Times New Roman" w:cs="Times New Roman"/>
                <w:b/>
              </w:rPr>
              <w:t>problematiku seminarskog rada</w:t>
            </w:r>
            <w:r w:rsidRPr="00733A4D">
              <w:rPr>
                <w:rFonts w:ascii="Times New Roman" w:hAnsi="Times New Roman" w:cs="Times New Roman"/>
              </w:rPr>
              <w:t xml:space="preserve"> u obliku PPT-a. Ovaj dio aktivnosti podrazumijeva pripremu zadane teme i sposobnost izlagača da je prenese auditoriju (kvalitetu obrade problematike, konzult</w:t>
            </w:r>
            <w:r>
              <w:rPr>
                <w:rFonts w:ascii="Times New Roman" w:hAnsi="Times New Roman" w:cs="Times New Roman"/>
              </w:rPr>
              <w:t>acije sa predmetnim nastavnikom</w:t>
            </w:r>
            <w:r w:rsidRPr="00733A4D">
              <w:rPr>
                <w:rFonts w:ascii="Times New Roman" w:hAnsi="Times New Roman" w:cs="Times New Roman"/>
              </w:rPr>
              <w:t>, nacrt izlaganja kao i samo izlaganje, poticanje na sudjelovanje u raspravi).</w:t>
            </w:r>
            <w:r>
              <w:rPr>
                <w:rFonts w:ascii="Times New Roman" w:hAnsi="Times New Roman" w:cs="Times New Roman"/>
              </w:rPr>
              <w:t xml:space="preserve"> Prete</w:t>
            </w:r>
            <w:r w:rsidRPr="00733A4D">
              <w:rPr>
                <w:rFonts w:ascii="Times New Roman" w:hAnsi="Times New Roman" w:cs="Times New Roman"/>
              </w:rPr>
              <w:t xml:space="preserve">žiti dio </w:t>
            </w:r>
            <w:r w:rsidRPr="00733A4D">
              <w:rPr>
                <w:rFonts w:ascii="Times New Roman" w:hAnsi="Times New Roman" w:cs="Times New Roman"/>
              </w:rPr>
              <w:lastRenderedPageBreak/>
              <w:t>izlaganja treba se odnositi na praktične primjere (slučajeve prakse) koji se vežu uz problematiku istraživanja.</w:t>
            </w:r>
          </w:p>
          <w:p w:rsidR="000E3151" w:rsidRDefault="000E3151" w:rsidP="000E315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33A4D">
              <w:rPr>
                <w:rFonts w:ascii="Times New Roman" w:hAnsi="Times New Roman" w:cs="Times New Roman"/>
              </w:rPr>
              <w:t xml:space="preserve">Šalje se na uvid </w:t>
            </w:r>
            <w:r>
              <w:rPr>
                <w:rFonts w:ascii="Times New Roman" w:hAnsi="Times New Roman" w:cs="Times New Roman"/>
              </w:rPr>
              <w:t xml:space="preserve">predmetnom nastavniku </w:t>
            </w:r>
            <w:r w:rsidRPr="00733A4D">
              <w:rPr>
                <w:rFonts w:ascii="Times New Roman" w:hAnsi="Times New Roman" w:cs="Times New Roman"/>
              </w:rPr>
              <w:t>tjedan dana prije izlaganja.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33A4D">
              <w:rPr>
                <w:rFonts w:ascii="Times New Roman" w:hAnsi="Times New Roman" w:cs="Times New Roman"/>
              </w:rPr>
              <w:t xml:space="preserve">U slučaju ozbiljnijih nepravilnosti pripremljena PPT šalje se na doradu prema uputama. </w:t>
            </w:r>
          </w:p>
          <w:p w:rsidR="000E3151" w:rsidRDefault="000E3151" w:rsidP="000E315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lang w:val="pl-PL"/>
              </w:rPr>
            </w:pPr>
          </w:p>
          <w:p w:rsidR="000E3151" w:rsidRDefault="000E3151" w:rsidP="000E315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lang w:val="pl-PL"/>
              </w:rPr>
            </w:pPr>
          </w:p>
          <w:p w:rsidR="000E3151" w:rsidRPr="00733A4D" w:rsidRDefault="000E3151" w:rsidP="000E3151">
            <w:pPr>
              <w:jc w:val="both"/>
              <w:rPr>
                <w:rFonts w:ascii="Times New Roman" w:hAnsi="Times New Roman" w:cs="Times New Roman"/>
                <w:bCs/>
                <w:noProof/>
                <w:lang w:val="pl-PL"/>
              </w:rPr>
            </w:pPr>
            <w:r w:rsidRPr="00733A4D">
              <w:rPr>
                <w:rFonts w:ascii="Times New Roman" w:hAnsi="Times New Roman" w:cs="Times New Roman"/>
                <w:b/>
                <w:noProof/>
                <w:u w:val="single"/>
              </w:rPr>
              <w:t>Završni ispit:</w:t>
            </w:r>
            <w:r w:rsidRPr="00733A4D">
              <w:rPr>
                <w:rFonts w:ascii="Times New Roman" w:hAnsi="Times New Roman" w:cs="Times New Roman"/>
                <w:noProof/>
              </w:rPr>
              <w:t xml:space="preserve"> na pismeni ispit koji nosi 50% ukupne ocjene moraju izaći svi studenti koji nisu položili oba kolokvija. </w:t>
            </w:r>
            <w:r w:rsidRPr="00733A4D">
              <w:rPr>
                <w:rFonts w:ascii="Times New Roman" w:hAnsi="Times New Roman" w:cs="Times New Roman"/>
                <w:noProof/>
                <w:lang w:val="es-ES"/>
              </w:rPr>
              <w:t xml:space="preserve">Ispit se ocjenjuje prema proporcionalnom postotku (Pravilnik o ocjenivanju UNIPU). </w:t>
            </w:r>
          </w:p>
          <w:p w:rsidR="000E3151" w:rsidRPr="00733A4D" w:rsidRDefault="000E3151" w:rsidP="000E3151">
            <w:pPr>
              <w:jc w:val="both"/>
              <w:rPr>
                <w:rFonts w:ascii="Times New Roman" w:hAnsi="Times New Roman" w:cs="Times New Roman"/>
                <w:noProof/>
              </w:rPr>
            </w:pPr>
            <w:r w:rsidRPr="00733A4D">
              <w:rPr>
                <w:rFonts w:ascii="Times New Roman" w:hAnsi="Times New Roman" w:cs="Times New Roman"/>
                <w:noProof/>
              </w:rPr>
              <w:t>Aktivnosti koje se ostvaruju tijekom semestra (u tekućoj ak.god.) priznaju se najdulje do isteka sljedeće akademske godine.</w:t>
            </w:r>
          </w:p>
          <w:p w:rsidR="000E3151" w:rsidRPr="00733A4D" w:rsidRDefault="000E3151" w:rsidP="000E3151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733A4D">
              <w:rPr>
                <w:rFonts w:ascii="Times New Roman" w:hAnsi="Times New Roman" w:cs="Times New Roman"/>
                <w:noProof/>
              </w:rPr>
              <w:t>Konačna ocjena iz kolegija izvodi se temeljem ukupno ostvarenog vrednovanja rada studenta koji za istog tablično vodi predmetni nastavnik.</w:t>
            </w:r>
          </w:p>
        </w:tc>
      </w:tr>
      <w:tr w:rsidR="000E3151" w:rsidRPr="00EA6C80" w:rsidTr="004A7F97">
        <w:tc>
          <w:tcPr>
            <w:tcW w:w="2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E3151" w:rsidRPr="00EA6C80" w:rsidRDefault="000E3151" w:rsidP="000E3151">
            <w:pPr>
              <w:spacing w:after="0" w:line="240" w:lineRule="auto"/>
            </w:pPr>
            <w:proofErr w:type="spellStart"/>
            <w:r w:rsidRPr="00EA6C80">
              <w:rPr>
                <w:lang w:val="en-US"/>
              </w:rPr>
              <w:lastRenderedPageBreak/>
              <w:t>Rokovi</w:t>
            </w:r>
            <w:proofErr w:type="spellEnd"/>
            <w:r w:rsidRPr="00EA6C80">
              <w:rPr>
                <w:lang w:val="en-US"/>
              </w:rPr>
              <w:t xml:space="preserve"> </w:t>
            </w:r>
            <w:proofErr w:type="spellStart"/>
            <w:r w:rsidRPr="00EA6C80">
              <w:rPr>
                <w:lang w:val="en-US"/>
              </w:rPr>
              <w:t>ispita</w:t>
            </w:r>
            <w:proofErr w:type="spellEnd"/>
            <w:r w:rsidRPr="00EA6C80">
              <w:rPr>
                <w:lang w:val="en-US"/>
              </w:rPr>
              <w:t xml:space="preserve"> </w:t>
            </w:r>
            <w:proofErr w:type="spellStart"/>
            <w:r w:rsidRPr="00EA6C80">
              <w:rPr>
                <w:lang w:val="en-US"/>
              </w:rPr>
              <w:t>i</w:t>
            </w:r>
            <w:proofErr w:type="spellEnd"/>
            <w:r w:rsidRPr="00EA6C80">
              <w:rPr>
                <w:lang w:val="en-US"/>
              </w:rPr>
              <w:t xml:space="preserve"> </w:t>
            </w:r>
            <w:proofErr w:type="spellStart"/>
            <w:r w:rsidRPr="00EA6C80">
              <w:rPr>
                <w:lang w:val="en-US"/>
              </w:rPr>
              <w:t>kolokvija</w:t>
            </w:r>
            <w:proofErr w:type="spellEnd"/>
          </w:p>
        </w:tc>
        <w:tc>
          <w:tcPr>
            <w:tcW w:w="651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E3151" w:rsidRPr="00EA6C80" w:rsidRDefault="000E3151" w:rsidP="000E3151">
            <w:pPr>
              <w:spacing w:after="0" w:line="240" w:lineRule="auto"/>
            </w:pPr>
            <w:proofErr w:type="spellStart"/>
            <w:r>
              <w:rPr>
                <w:lang w:val="en-US"/>
              </w:rPr>
              <w:t>Objavljuju</w:t>
            </w:r>
            <w:proofErr w:type="spellEnd"/>
            <w:r>
              <w:rPr>
                <w:lang w:val="en-US"/>
              </w:rPr>
              <w:t xml:space="preserve"> se </w:t>
            </w:r>
            <w:proofErr w:type="spellStart"/>
            <w:r>
              <w:rPr>
                <w:lang w:val="en-US"/>
              </w:rPr>
              <w:t>na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početku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akademske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godine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na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mrežnim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stranicama</w:t>
            </w:r>
            <w:proofErr w:type="spellEnd"/>
            <w:r>
              <w:rPr>
                <w:lang w:val="en-US"/>
              </w:rPr>
              <w:t xml:space="preserve"> FET – a  </w:t>
            </w:r>
            <w:proofErr w:type="spellStart"/>
            <w:r>
              <w:rPr>
                <w:lang w:val="en-US"/>
              </w:rPr>
              <w:t>i</w:t>
            </w:r>
            <w:proofErr w:type="spellEnd"/>
            <w:r>
              <w:rPr>
                <w:lang w:val="en-US"/>
              </w:rPr>
              <w:t xml:space="preserve"> u ISVU.</w:t>
            </w:r>
          </w:p>
        </w:tc>
      </w:tr>
      <w:tr w:rsidR="000E3151" w:rsidRPr="00EA6C80" w:rsidTr="004A7F97">
        <w:tc>
          <w:tcPr>
            <w:tcW w:w="2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E3151" w:rsidRPr="00EA6C80" w:rsidRDefault="000E3151" w:rsidP="000E3151">
            <w:pPr>
              <w:spacing w:after="0" w:line="240" w:lineRule="auto"/>
            </w:pPr>
            <w:r w:rsidRPr="00EA6C80">
              <w:t xml:space="preserve">Ostale važne činjenice </w:t>
            </w:r>
            <w:r w:rsidRPr="00B337D1">
              <w:rPr>
                <w:lang w:val="it-IT"/>
              </w:rPr>
              <w:t>vezane uz kolegij</w:t>
            </w:r>
          </w:p>
        </w:tc>
        <w:tc>
          <w:tcPr>
            <w:tcW w:w="651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E3151" w:rsidRPr="00733A4D" w:rsidRDefault="000E3151" w:rsidP="000E315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3A4D">
              <w:rPr>
                <w:rFonts w:ascii="Times New Roman" w:hAnsi="Times New Roman" w:cs="Times New Roman"/>
              </w:rPr>
              <w:t>Da položi kolegij, student/studentica mora:</w:t>
            </w:r>
          </w:p>
          <w:p w:rsidR="000E3151" w:rsidRPr="00733A4D" w:rsidRDefault="000E3151" w:rsidP="000E315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E3151" w:rsidRPr="00733A4D" w:rsidRDefault="00916E95" w:rsidP="000E315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0E3151" w:rsidRPr="00BB2EFD">
              <w:rPr>
                <w:rFonts w:ascii="Times New Roman" w:hAnsi="Times New Roman" w:cs="Times New Roman"/>
              </w:rPr>
              <w:t>.</w:t>
            </w:r>
            <w:r w:rsidR="000E3151">
              <w:rPr>
                <w:rFonts w:ascii="Times New Roman" w:hAnsi="Times New Roman" w:cs="Times New Roman"/>
                <w:i/>
              </w:rPr>
              <w:t xml:space="preserve"> </w:t>
            </w:r>
            <w:r w:rsidR="000E3151" w:rsidRPr="00733A4D">
              <w:rPr>
                <w:rFonts w:ascii="Times New Roman" w:hAnsi="Times New Roman" w:cs="Times New Roman"/>
                <w:i/>
              </w:rPr>
              <w:t>Napisati cjelovit seminarski rad</w:t>
            </w:r>
            <w:r w:rsidR="000E3151" w:rsidRPr="00733A4D">
              <w:rPr>
                <w:rFonts w:ascii="Times New Roman" w:hAnsi="Times New Roman" w:cs="Times New Roman"/>
              </w:rPr>
              <w:t xml:space="preserve">. </w:t>
            </w:r>
            <w:r w:rsidR="000E3151">
              <w:rPr>
                <w:rFonts w:ascii="Times New Roman" w:hAnsi="Times New Roman" w:cs="Times New Roman"/>
              </w:rPr>
              <w:t>Temu r</w:t>
            </w:r>
            <w:r w:rsidR="000E3151" w:rsidRPr="00733A4D">
              <w:rPr>
                <w:rFonts w:ascii="Times New Roman" w:hAnsi="Times New Roman" w:cs="Times New Roman"/>
              </w:rPr>
              <w:t>ad</w:t>
            </w:r>
            <w:r w:rsidR="000E3151">
              <w:rPr>
                <w:rFonts w:ascii="Times New Roman" w:hAnsi="Times New Roman" w:cs="Times New Roman"/>
              </w:rPr>
              <w:t>a</w:t>
            </w:r>
            <w:r w:rsidR="000E3151" w:rsidRPr="00733A4D">
              <w:rPr>
                <w:rFonts w:ascii="Times New Roman" w:hAnsi="Times New Roman" w:cs="Times New Roman"/>
              </w:rPr>
              <w:t xml:space="preserve"> dodjeljuje predmetni </w:t>
            </w:r>
            <w:r w:rsidR="000E3151">
              <w:rPr>
                <w:rFonts w:ascii="Times New Roman" w:hAnsi="Times New Roman" w:cs="Times New Roman"/>
              </w:rPr>
              <w:t>nastavnik</w:t>
            </w:r>
            <w:r w:rsidR="000E3151" w:rsidRPr="00733A4D">
              <w:rPr>
                <w:rFonts w:ascii="Times New Roman" w:hAnsi="Times New Roman" w:cs="Times New Roman"/>
              </w:rPr>
              <w:t xml:space="preserve">. Finalni rad mora biti prethodno odobren </w:t>
            </w:r>
            <w:r w:rsidR="000E3151">
              <w:rPr>
                <w:rFonts w:ascii="Times New Roman" w:hAnsi="Times New Roman" w:cs="Times New Roman"/>
              </w:rPr>
              <w:t>(hipoteze, nacrt istraživanja)</w:t>
            </w:r>
            <w:r w:rsidR="000E3151" w:rsidRPr="00733A4D">
              <w:rPr>
                <w:rFonts w:ascii="Times New Roman" w:hAnsi="Times New Roman" w:cs="Times New Roman"/>
              </w:rPr>
              <w:t xml:space="preserve"> od strane predmetnog </w:t>
            </w:r>
            <w:r w:rsidR="000E3151">
              <w:rPr>
                <w:rFonts w:ascii="Times New Roman" w:hAnsi="Times New Roman" w:cs="Times New Roman"/>
              </w:rPr>
              <w:t>nastavnika što podrazumijeva dolazak na konzultacije. Seminarski rad je uvjet pristupa zavšnom ispitu.</w:t>
            </w:r>
          </w:p>
          <w:p w:rsidR="000E3151" w:rsidRPr="00733A4D" w:rsidRDefault="00916E95" w:rsidP="000E315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0E3151" w:rsidRPr="00733A4D">
              <w:rPr>
                <w:rFonts w:ascii="Times New Roman" w:hAnsi="Times New Roman" w:cs="Times New Roman"/>
              </w:rPr>
              <w:t xml:space="preserve">. </w:t>
            </w:r>
            <w:r w:rsidR="000E3151" w:rsidRPr="00733A4D">
              <w:rPr>
                <w:rFonts w:ascii="Times New Roman" w:hAnsi="Times New Roman" w:cs="Times New Roman"/>
                <w:i/>
              </w:rPr>
              <w:t>Pripremiti temu sata</w:t>
            </w:r>
            <w:r w:rsidR="000E3151" w:rsidRPr="00733A4D">
              <w:rPr>
                <w:rFonts w:ascii="Times New Roman" w:hAnsi="Times New Roman" w:cs="Times New Roman"/>
              </w:rPr>
              <w:t xml:space="preserve"> (PPT) kao dio samostalnog zadatka kolegija koja se izlaže pred ostalim studentima. Istraživanje uključuje primjere turističke prakse (studija slučaja), u do</w:t>
            </w:r>
            <w:r w:rsidR="000E3151">
              <w:rPr>
                <w:rFonts w:ascii="Times New Roman" w:hAnsi="Times New Roman" w:cs="Times New Roman"/>
              </w:rPr>
              <w:t>govoru sa predmetnim nastavnikom, a vezano za temu istraživanja u seminarskom radu.</w:t>
            </w:r>
          </w:p>
          <w:p w:rsidR="000E3151" w:rsidRDefault="00916E95" w:rsidP="000E3151">
            <w:pPr>
              <w:pStyle w:val="Default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0E3151" w:rsidRPr="00733A4D">
              <w:rPr>
                <w:rFonts w:ascii="Times New Roman" w:hAnsi="Times New Roman" w:cs="Times New Roman"/>
              </w:rPr>
              <w:t xml:space="preserve">. </w:t>
            </w:r>
            <w:r w:rsidR="000E3151">
              <w:rPr>
                <w:rFonts w:ascii="Times New Roman" w:hAnsi="Times New Roman" w:cs="Times New Roman"/>
                <w:i/>
              </w:rPr>
              <w:t>Položiti oba kolokvija ili položiti pismeni ispit</w:t>
            </w:r>
            <w:r w:rsidR="000E3151" w:rsidRPr="00733A4D">
              <w:rPr>
                <w:rFonts w:ascii="Times New Roman" w:hAnsi="Times New Roman" w:cs="Times New Roman"/>
              </w:rPr>
              <w:t xml:space="preserve"> (kolok. I sre</w:t>
            </w:r>
            <w:r w:rsidR="000E3151">
              <w:rPr>
                <w:rFonts w:ascii="Times New Roman" w:hAnsi="Times New Roman" w:cs="Times New Roman"/>
              </w:rPr>
              <w:t>dinom prosinca, k</w:t>
            </w:r>
            <w:r w:rsidR="000E3151" w:rsidRPr="00733A4D">
              <w:rPr>
                <w:rFonts w:ascii="Times New Roman" w:hAnsi="Times New Roman" w:cs="Times New Roman"/>
              </w:rPr>
              <w:t>olok. II krajem siječnja).</w:t>
            </w:r>
            <w:r w:rsidR="000E3151">
              <w:rPr>
                <w:sz w:val="22"/>
                <w:szCs w:val="22"/>
              </w:rPr>
              <w:t xml:space="preserve"> </w:t>
            </w:r>
          </w:p>
          <w:p w:rsidR="00255E3B" w:rsidRDefault="00255E3B" w:rsidP="000E3151">
            <w:pPr>
              <w:pStyle w:val="Default"/>
              <w:rPr>
                <w:sz w:val="22"/>
                <w:szCs w:val="22"/>
              </w:rPr>
            </w:pPr>
          </w:p>
          <w:p w:rsidR="00255E3B" w:rsidRPr="00EA6C80" w:rsidRDefault="00255E3B" w:rsidP="000E3151">
            <w:pPr>
              <w:pStyle w:val="Default"/>
            </w:pPr>
            <w:r w:rsidRPr="00733A4D">
              <w:rPr>
                <w:rFonts w:ascii="Times New Roman" w:hAnsi="Times New Roman" w:cs="Times New Roman"/>
              </w:rPr>
              <w:t>Studenti su dužni pohađati više od 70% nastave, čime stječe pravo na ostvarivanje 5% uspješnosti. Ako student/studentica izos</w:t>
            </w:r>
            <w:r>
              <w:rPr>
                <w:rFonts w:ascii="Times New Roman" w:hAnsi="Times New Roman" w:cs="Times New Roman"/>
              </w:rPr>
              <w:t>tanu sa od 30-50% dodjeljuju</w:t>
            </w:r>
            <w:r w:rsidRPr="00733A4D">
              <w:rPr>
                <w:rFonts w:ascii="Times New Roman" w:hAnsi="Times New Roman" w:cs="Times New Roman"/>
              </w:rPr>
              <w:t xml:space="preserve"> se dodatni zadaci.</w:t>
            </w:r>
            <w:bookmarkStart w:id="0" w:name="_GoBack"/>
            <w:bookmarkEnd w:id="0"/>
          </w:p>
        </w:tc>
      </w:tr>
      <w:tr w:rsidR="000E3151" w:rsidRPr="00EA6C80" w:rsidTr="004A7F97">
        <w:trPr>
          <w:trHeight w:val="770"/>
        </w:trPr>
        <w:tc>
          <w:tcPr>
            <w:tcW w:w="2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E3151" w:rsidRPr="000B5E88" w:rsidRDefault="000E3151" w:rsidP="000E3151">
            <w:pPr>
              <w:spacing w:after="0" w:line="240" w:lineRule="auto"/>
            </w:pPr>
            <w:r w:rsidRPr="000B5E88">
              <w:t>Literatura</w:t>
            </w:r>
          </w:p>
        </w:tc>
        <w:tc>
          <w:tcPr>
            <w:tcW w:w="651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E3151" w:rsidRDefault="000E3151" w:rsidP="000E3151">
            <w:pPr>
              <w:spacing w:after="0" w:line="240" w:lineRule="auto"/>
            </w:pPr>
            <w:r w:rsidRPr="000B5E88">
              <w:t xml:space="preserve">Obvezna: </w:t>
            </w:r>
          </w:p>
          <w:p w:rsidR="00C81173" w:rsidRDefault="00C81173" w:rsidP="000E3151">
            <w:pPr>
              <w:spacing w:after="0" w:line="240" w:lineRule="auto"/>
            </w:pPr>
          </w:p>
          <w:p w:rsidR="00C81173" w:rsidRPr="000B5E88" w:rsidRDefault="00C81173" w:rsidP="00C81173">
            <w:pPr>
              <w:pStyle w:val="ListParagraph"/>
              <w:numPr>
                <w:ilvl w:val="0"/>
                <w:numId w:val="9"/>
              </w:numPr>
              <w:spacing w:after="0" w:line="240" w:lineRule="auto"/>
            </w:pPr>
            <w:r>
              <w:t>Gržinić, J. (2020), Turističke atrakcije - nastanak, razvoj utjecaji (282 str.)</w:t>
            </w:r>
          </w:p>
          <w:p w:rsidR="000E3151" w:rsidRPr="000B5E88" w:rsidRDefault="00C81173" w:rsidP="000E3151">
            <w:pPr>
              <w:pStyle w:val="NormalWeb"/>
              <w:rPr>
                <w:rFonts w:asciiTheme="minorHAnsi" w:hAnsiTheme="minorHAnsi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Times New Roman"/>
                <w:bCs/>
                <w:color w:val="auto"/>
                <w:sz w:val="22"/>
                <w:szCs w:val="22"/>
              </w:rPr>
              <w:t xml:space="preserve">PPT materijali koji prate udžbenik i dostupni su putem e-učenja. </w:t>
            </w:r>
          </w:p>
          <w:p w:rsidR="000E3151" w:rsidRDefault="000E3151" w:rsidP="000E3151">
            <w:pPr>
              <w:spacing w:after="0" w:line="240" w:lineRule="auto"/>
            </w:pPr>
            <w:r w:rsidRPr="000B5E88">
              <w:t>Izborna:</w:t>
            </w:r>
          </w:p>
          <w:p w:rsidR="00C81173" w:rsidRPr="000B5E88" w:rsidRDefault="00C81173" w:rsidP="000E3151">
            <w:pPr>
              <w:spacing w:after="0" w:line="240" w:lineRule="auto"/>
            </w:pPr>
          </w:p>
          <w:p w:rsidR="000E3151" w:rsidRPr="000B5E88" w:rsidRDefault="000E3151" w:rsidP="00C81173">
            <w:pPr>
              <w:pStyle w:val="ListParagraph"/>
              <w:numPr>
                <w:ilvl w:val="0"/>
                <w:numId w:val="7"/>
              </w:numPr>
              <w:spacing w:after="0" w:line="240" w:lineRule="auto"/>
            </w:pPr>
            <w:r w:rsidRPr="000B5E88">
              <w:rPr>
                <w:rFonts w:cs="Times New Roman"/>
                <w:bCs/>
              </w:rPr>
              <w:t xml:space="preserve">Richards, B. (1997),  </w:t>
            </w:r>
            <w:r w:rsidRPr="000B5E88">
              <w:rPr>
                <w:rFonts w:cs="Times New Roman"/>
                <w:bCs/>
                <w:i/>
              </w:rPr>
              <w:t>Marketing turističkih atrakcija, festivala i posebnih događanja</w:t>
            </w:r>
            <w:r w:rsidRPr="000B5E88">
              <w:rPr>
                <w:rFonts w:cs="Times New Roman"/>
                <w:bCs/>
              </w:rPr>
              <w:t>. Zagreb : Potecon.</w:t>
            </w:r>
          </w:p>
          <w:p w:rsidR="000E3151" w:rsidRPr="000B5E88" w:rsidRDefault="000E3151" w:rsidP="00C81173">
            <w:pPr>
              <w:pStyle w:val="NormalWeb"/>
              <w:numPr>
                <w:ilvl w:val="0"/>
                <w:numId w:val="7"/>
              </w:numPr>
              <w:rPr>
                <w:rFonts w:asciiTheme="minorHAnsi" w:hAnsiTheme="minorHAnsi" w:cs="Times New Roman"/>
                <w:bCs/>
                <w:color w:val="auto"/>
                <w:sz w:val="22"/>
                <w:szCs w:val="22"/>
              </w:rPr>
            </w:pPr>
            <w:r w:rsidRPr="000B5E88">
              <w:rPr>
                <w:rFonts w:asciiTheme="minorHAnsi" w:hAnsiTheme="minorHAnsi" w:cs="Times New Roman"/>
                <w:bCs/>
                <w:color w:val="auto"/>
                <w:sz w:val="22"/>
                <w:szCs w:val="22"/>
              </w:rPr>
              <w:t xml:space="preserve">Swarbrooke, J. (2002) </w:t>
            </w:r>
            <w:r w:rsidRPr="000B5E88">
              <w:rPr>
                <w:rFonts w:asciiTheme="minorHAnsi" w:hAnsiTheme="minorHAnsi" w:cs="Times New Roman"/>
                <w:bCs/>
                <w:i/>
                <w:color w:val="auto"/>
                <w:sz w:val="22"/>
                <w:szCs w:val="22"/>
              </w:rPr>
              <w:t>The development and management of visitor attractions</w:t>
            </w:r>
            <w:r w:rsidRPr="000B5E88">
              <w:rPr>
                <w:rFonts w:asciiTheme="minorHAnsi" w:hAnsiTheme="minorHAnsi" w:cs="Times New Roman"/>
                <w:bCs/>
                <w:color w:val="auto"/>
                <w:sz w:val="22"/>
                <w:szCs w:val="22"/>
              </w:rPr>
              <w:t>, Butterworth-Heinemann.</w:t>
            </w:r>
          </w:p>
          <w:p w:rsidR="000E3151" w:rsidRPr="000B5E88" w:rsidRDefault="000E3151" w:rsidP="00C81173">
            <w:pPr>
              <w:pStyle w:val="ListParagraph"/>
              <w:numPr>
                <w:ilvl w:val="0"/>
                <w:numId w:val="7"/>
              </w:numPr>
              <w:spacing w:after="0" w:line="240" w:lineRule="auto"/>
            </w:pPr>
            <w:r w:rsidRPr="000B5E88">
              <w:rPr>
                <w:rFonts w:cs="Times New Roman"/>
                <w:bCs/>
              </w:rPr>
              <w:t xml:space="preserve">Jelinčić, D.A. (2010), </w:t>
            </w:r>
            <w:r w:rsidRPr="000B5E88">
              <w:rPr>
                <w:rFonts w:cs="Times New Roman"/>
                <w:bCs/>
                <w:i/>
              </w:rPr>
              <w:t>Kultura u izlogu</w:t>
            </w:r>
            <w:r w:rsidRPr="000B5E88">
              <w:rPr>
                <w:rFonts w:cs="Times New Roman"/>
                <w:bCs/>
              </w:rPr>
              <w:t>, Intermedia, Zagreb.</w:t>
            </w:r>
          </w:p>
          <w:p w:rsidR="000E3151" w:rsidRPr="000B5E88" w:rsidRDefault="000E3151" w:rsidP="00C81173">
            <w:pPr>
              <w:pStyle w:val="ListParagraph"/>
              <w:numPr>
                <w:ilvl w:val="0"/>
                <w:numId w:val="7"/>
              </w:numPr>
              <w:spacing w:after="0" w:line="240" w:lineRule="auto"/>
            </w:pPr>
            <w:r w:rsidRPr="000B5E88">
              <w:rPr>
                <w:rFonts w:cs="Times New Roman"/>
                <w:bCs/>
              </w:rPr>
              <w:t xml:space="preserve">Čavlek, N. et al. (2011), </w:t>
            </w:r>
            <w:r w:rsidRPr="000B5E88">
              <w:rPr>
                <w:rFonts w:cs="Times New Roman"/>
                <w:bCs/>
                <w:i/>
              </w:rPr>
              <w:t>Turizam-ekonomske osnove i organizacijski sustav</w:t>
            </w:r>
            <w:r w:rsidRPr="000B5E88">
              <w:rPr>
                <w:rFonts w:cs="Times New Roman"/>
                <w:bCs/>
              </w:rPr>
              <w:t>, Školska knjiga, Zagreb.</w:t>
            </w:r>
          </w:p>
          <w:p w:rsidR="000E3151" w:rsidRPr="000B5E88" w:rsidRDefault="000E3151" w:rsidP="00C81173">
            <w:pPr>
              <w:pStyle w:val="ListParagraph"/>
              <w:numPr>
                <w:ilvl w:val="0"/>
                <w:numId w:val="7"/>
              </w:numPr>
              <w:spacing w:after="0" w:line="240" w:lineRule="auto"/>
            </w:pPr>
            <w:r w:rsidRPr="000B5E88">
              <w:rPr>
                <w:rFonts w:cs="Times New Roman"/>
                <w:bCs/>
              </w:rPr>
              <w:lastRenderedPageBreak/>
              <w:t>Dulčić, A.</w:t>
            </w:r>
            <w:r>
              <w:rPr>
                <w:rFonts w:cs="Times New Roman"/>
                <w:bCs/>
              </w:rPr>
              <w:t xml:space="preserve">, (2001), </w:t>
            </w:r>
            <w:r w:rsidRPr="000B5E88">
              <w:rPr>
                <w:rFonts w:cs="Times New Roman"/>
                <w:bCs/>
              </w:rPr>
              <w:t xml:space="preserve"> </w:t>
            </w:r>
            <w:r w:rsidRPr="000B5E88">
              <w:rPr>
                <w:rFonts w:cs="Times New Roman"/>
                <w:bCs/>
                <w:i/>
              </w:rPr>
              <w:t>Upravljanje razvojem turizma</w:t>
            </w:r>
            <w:r w:rsidRPr="000B5E88">
              <w:rPr>
                <w:rFonts w:cs="Times New Roman"/>
                <w:bCs/>
              </w:rPr>
              <w:t>. Zagreb: Mate</w:t>
            </w:r>
            <w:r>
              <w:rPr>
                <w:rFonts w:cs="Times New Roman"/>
                <w:bCs/>
              </w:rPr>
              <w:t xml:space="preserve"> d.o.o.</w:t>
            </w:r>
          </w:p>
          <w:p w:rsidR="000E3151" w:rsidRPr="000B5E88" w:rsidRDefault="000E3151" w:rsidP="00C81173">
            <w:pPr>
              <w:pStyle w:val="ListParagraph"/>
              <w:numPr>
                <w:ilvl w:val="0"/>
                <w:numId w:val="7"/>
              </w:numPr>
              <w:spacing w:after="0" w:line="240" w:lineRule="auto"/>
            </w:pPr>
            <w:r w:rsidRPr="000B5E88">
              <w:rPr>
                <w:rFonts w:cs="Times New Roman"/>
                <w:bCs/>
              </w:rPr>
              <w:t xml:space="preserve">Geić, S. (2002), </w:t>
            </w:r>
            <w:r w:rsidRPr="000B5E88">
              <w:rPr>
                <w:rFonts w:cs="Times New Roman"/>
                <w:bCs/>
                <w:i/>
              </w:rPr>
              <w:t>Turizam i kulturno-civilizacijsko naslijeđe</w:t>
            </w:r>
            <w:r w:rsidRPr="000B5E88">
              <w:rPr>
                <w:rFonts w:cs="Times New Roman"/>
                <w:bCs/>
              </w:rPr>
              <w:t>, Split : Veleučilište.</w:t>
            </w:r>
          </w:p>
          <w:p w:rsidR="000E3151" w:rsidRPr="000B5E88" w:rsidRDefault="000E3151" w:rsidP="00C81173">
            <w:pPr>
              <w:pStyle w:val="ListParagraph"/>
              <w:numPr>
                <w:ilvl w:val="0"/>
                <w:numId w:val="7"/>
              </w:numPr>
              <w:spacing w:after="0" w:line="240" w:lineRule="auto"/>
            </w:pPr>
            <w:r w:rsidRPr="000B5E88">
              <w:rPr>
                <w:rFonts w:cs="Times New Roman"/>
                <w:bCs/>
              </w:rPr>
              <w:t>Vukonić, B. i K. Keča,</w:t>
            </w:r>
            <w:r>
              <w:rPr>
                <w:rFonts w:cs="Times New Roman"/>
                <w:bCs/>
              </w:rPr>
              <w:t>(2002)</w:t>
            </w:r>
            <w:r w:rsidRPr="000B5E88">
              <w:rPr>
                <w:rFonts w:cs="Times New Roman"/>
                <w:bCs/>
              </w:rPr>
              <w:t xml:space="preserve"> </w:t>
            </w:r>
            <w:r w:rsidRPr="000B5E88">
              <w:rPr>
                <w:rFonts w:cs="Times New Roman"/>
                <w:bCs/>
                <w:i/>
              </w:rPr>
              <w:t>Turizam i razvoj – pojam, načela i postupci</w:t>
            </w:r>
            <w:r w:rsidRPr="000B5E88">
              <w:rPr>
                <w:rFonts w:cs="Times New Roman"/>
                <w:bCs/>
              </w:rPr>
              <w:t>, Ekonomski fakultet, Zagreb : Mikrorad, Zagreb</w:t>
            </w:r>
          </w:p>
          <w:p w:rsidR="000E3151" w:rsidRPr="000B5E88" w:rsidRDefault="000E3151" w:rsidP="00C81173">
            <w:pPr>
              <w:pStyle w:val="ListParagraph"/>
              <w:numPr>
                <w:ilvl w:val="0"/>
                <w:numId w:val="7"/>
              </w:numPr>
              <w:spacing w:after="0" w:line="240" w:lineRule="auto"/>
            </w:pPr>
            <w:r w:rsidRPr="000B5E88">
              <w:rPr>
                <w:rFonts w:cs="Times New Roman"/>
                <w:bCs/>
              </w:rPr>
              <w:t xml:space="preserve">Richards, G. (2001), </w:t>
            </w:r>
            <w:r w:rsidRPr="000B5E88">
              <w:rPr>
                <w:rFonts w:cs="Times New Roman"/>
                <w:bCs/>
                <w:i/>
              </w:rPr>
              <w:t>Cultural attractions and European tourism</w:t>
            </w:r>
            <w:r w:rsidRPr="000B5E88">
              <w:rPr>
                <w:rFonts w:cs="Times New Roman"/>
                <w:bCs/>
              </w:rPr>
              <w:t>, Cabi, First edition.</w:t>
            </w:r>
          </w:p>
          <w:p w:rsidR="000E3151" w:rsidRPr="000B5E88" w:rsidRDefault="000E3151" w:rsidP="00C81173">
            <w:pPr>
              <w:pStyle w:val="ListParagraph"/>
              <w:numPr>
                <w:ilvl w:val="0"/>
                <w:numId w:val="7"/>
              </w:numPr>
              <w:spacing w:after="0" w:line="240" w:lineRule="auto"/>
            </w:pPr>
            <w:r w:rsidRPr="000B5E88">
              <w:rPr>
                <w:rFonts w:cs="Times New Roman"/>
                <w:bCs/>
                <w:i/>
              </w:rPr>
              <w:t>Kriteriji za planiranje turističkih predjela obalnoga područja mora</w:t>
            </w:r>
            <w:r w:rsidRPr="000B5E88">
              <w:rPr>
                <w:rFonts w:cs="Times New Roman"/>
                <w:bCs/>
              </w:rPr>
              <w:t>,</w:t>
            </w:r>
            <w:r>
              <w:rPr>
                <w:rFonts w:cs="Times New Roman"/>
                <w:bCs/>
              </w:rPr>
              <w:t>(2009)</w:t>
            </w:r>
            <w:r w:rsidRPr="000B5E88">
              <w:rPr>
                <w:rFonts w:cs="Times New Roman"/>
                <w:bCs/>
              </w:rPr>
              <w:t xml:space="preserve"> ed. Stjepo Butijer, S. et al.. Zagreb: Ministarstvo zaštite okoliša, prostornog uređenja i graditeljstva</w:t>
            </w:r>
          </w:p>
          <w:p w:rsidR="000E3151" w:rsidRPr="000B5E88" w:rsidRDefault="000E3151" w:rsidP="00C81173">
            <w:pPr>
              <w:pStyle w:val="ListParagraph"/>
              <w:numPr>
                <w:ilvl w:val="0"/>
                <w:numId w:val="7"/>
              </w:numPr>
              <w:spacing w:after="0" w:line="240" w:lineRule="auto"/>
            </w:pPr>
            <w:r w:rsidRPr="000B5E88">
              <w:rPr>
                <w:rFonts w:cs="Times New Roman"/>
                <w:bCs/>
                <w:i/>
              </w:rPr>
              <w:t>Istra-turističke atrakcije</w:t>
            </w:r>
            <w:r w:rsidRPr="000B5E88">
              <w:rPr>
                <w:rFonts w:cs="Times New Roman"/>
                <w:bCs/>
              </w:rPr>
              <w:t xml:space="preserve">, preuzeto sa: </w:t>
            </w:r>
            <w:hyperlink r:id="rId6" w:history="1">
              <w:r w:rsidRPr="000B5E88">
                <w:rPr>
                  <w:rFonts w:cs="Times New Roman"/>
                </w:rPr>
                <w:t>http://www.istra.hr/hr/atrakcije-i-aktivnosti/kultura-i-umjetnost/znamenitosti/2804-ch-0?&amp;cr_offset=1&amp;l_over=1</w:t>
              </w:r>
            </w:hyperlink>
          </w:p>
          <w:p w:rsidR="000E3151" w:rsidRPr="000B5E88" w:rsidRDefault="000E3151" w:rsidP="00C81173">
            <w:pPr>
              <w:pStyle w:val="ListParagraph"/>
              <w:numPr>
                <w:ilvl w:val="0"/>
                <w:numId w:val="7"/>
              </w:numPr>
              <w:spacing w:after="0" w:line="240" w:lineRule="auto"/>
            </w:pPr>
            <w:r w:rsidRPr="000B5E88">
              <w:rPr>
                <w:rFonts w:cs="Times New Roman"/>
                <w:bCs/>
                <w:i/>
              </w:rPr>
              <w:t>Tradicija i nove turističke atrakcije</w:t>
            </w:r>
            <w:r w:rsidRPr="000B5E88">
              <w:rPr>
                <w:rFonts w:cs="Times New Roman"/>
                <w:bCs/>
              </w:rPr>
              <w:t xml:space="preserve">, preuzeto sa: </w:t>
            </w:r>
            <w:hyperlink r:id="rId7" w:history="1">
              <w:r w:rsidRPr="000B5E88">
                <w:rPr>
                  <w:rFonts w:cs="Times New Roman"/>
                </w:rPr>
                <w:t>http://www.croatia-blog.net/hr/tradicija-i-nove-turisticke-atrakcije</w:t>
              </w:r>
            </w:hyperlink>
          </w:p>
          <w:p w:rsidR="000E3151" w:rsidRPr="000B5E88" w:rsidRDefault="000E3151" w:rsidP="00C81173">
            <w:pPr>
              <w:pStyle w:val="ListParagraph"/>
              <w:numPr>
                <w:ilvl w:val="0"/>
                <w:numId w:val="7"/>
              </w:numPr>
              <w:spacing w:after="0" w:line="240" w:lineRule="auto"/>
            </w:pPr>
            <w:r w:rsidRPr="000B5E88">
              <w:rPr>
                <w:rFonts w:cs="Times New Roman"/>
                <w:bCs/>
                <w:i/>
              </w:rPr>
              <w:t>International association of amusment parks and attractions</w:t>
            </w:r>
            <w:r w:rsidRPr="000B5E88">
              <w:rPr>
                <w:rFonts w:cs="Times New Roman"/>
                <w:bCs/>
              </w:rPr>
              <w:t xml:space="preserve">, pristup sa: </w:t>
            </w:r>
            <w:hyperlink r:id="rId8" w:history="1">
              <w:r w:rsidRPr="000B5E88">
                <w:rPr>
                  <w:rFonts w:cs="Times New Roman"/>
                </w:rPr>
                <w:t>http://www.iaapa.org/europe/documents/EuropeanCommissionResponse28-02-10.pdf</w:t>
              </w:r>
            </w:hyperlink>
          </w:p>
          <w:p w:rsidR="000E3151" w:rsidRPr="000B5E88" w:rsidRDefault="000E3151" w:rsidP="00C81173">
            <w:pPr>
              <w:pStyle w:val="ListParagraph"/>
              <w:numPr>
                <w:ilvl w:val="0"/>
                <w:numId w:val="7"/>
              </w:numPr>
              <w:spacing w:after="0" w:line="240" w:lineRule="auto"/>
            </w:pPr>
            <w:r w:rsidRPr="000B5E88">
              <w:rPr>
                <w:rFonts w:cs="Times New Roman"/>
                <w:bCs/>
                <w:i/>
              </w:rPr>
              <w:t>Europe tourism attractions</w:t>
            </w:r>
            <w:r w:rsidRPr="000B5E88">
              <w:rPr>
                <w:rFonts w:cs="Times New Roman"/>
                <w:bCs/>
              </w:rPr>
              <w:t xml:space="preserve">, pristup sa: </w:t>
            </w:r>
            <w:hyperlink r:id="rId9" w:history="1">
              <w:r w:rsidRPr="000B5E88">
                <w:rPr>
                  <w:rStyle w:val="Hyperlink"/>
                  <w:rFonts w:cs="Times New Roman"/>
                  <w:bCs/>
                  <w:color w:val="auto"/>
                </w:rPr>
                <w:t>http://travel.mapsofworld.com/europe/tourist-attractions.html</w:t>
              </w:r>
            </w:hyperlink>
          </w:p>
          <w:p w:rsidR="000E3151" w:rsidRPr="00C81173" w:rsidRDefault="000E3151" w:rsidP="00C81173">
            <w:pPr>
              <w:pStyle w:val="ListParagraph"/>
              <w:numPr>
                <w:ilvl w:val="0"/>
                <w:numId w:val="7"/>
              </w:numPr>
              <w:spacing w:after="0" w:line="240" w:lineRule="auto"/>
            </w:pPr>
            <w:r w:rsidRPr="000B5E88">
              <w:rPr>
                <w:rFonts w:cs="Times New Roman"/>
                <w:bCs/>
              </w:rPr>
              <w:t xml:space="preserve">Watt, D.C. (1998), </w:t>
            </w:r>
            <w:r w:rsidRPr="000B5E88">
              <w:rPr>
                <w:rFonts w:cs="Times New Roman"/>
                <w:bCs/>
                <w:i/>
              </w:rPr>
              <w:t>Event management in Leisure and Tourism</w:t>
            </w:r>
            <w:r w:rsidRPr="000B5E88">
              <w:rPr>
                <w:rFonts w:cs="Times New Roman"/>
                <w:bCs/>
              </w:rPr>
              <w:t>, Pearson Education.</w:t>
            </w:r>
          </w:p>
          <w:p w:rsidR="00C81173" w:rsidRDefault="00C81173" w:rsidP="00C81173">
            <w:pPr>
              <w:pStyle w:val="NormalWeb"/>
              <w:numPr>
                <w:ilvl w:val="0"/>
                <w:numId w:val="7"/>
              </w:numPr>
              <w:rPr>
                <w:rFonts w:asciiTheme="minorHAnsi" w:hAnsiTheme="minorHAnsi" w:cs="Times New Roman"/>
                <w:bCs/>
                <w:color w:val="auto"/>
                <w:sz w:val="22"/>
                <w:szCs w:val="22"/>
              </w:rPr>
            </w:pPr>
            <w:r w:rsidRPr="000B5E88">
              <w:rPr>
                <w:rFonts w:asciiTheme="minorHAnsi" w:hAnsiTheme="minorHAnsi" w:cs="Times New Roman"/>
                <w:bCs/>
                <w:color w:val="auto"/>
                <w:sz w:val="22"/>
                <w:szCs w:val="22"/>
              </w:rPr>
              <w:t xml:space="preserve">Kušen, E., (2002), </w:t>
            </w:r>
            <w:r w:rsidRPr="000B5E88">
              <w:rPr>
                <w:rFonts w:asciiTheme="minorHAnsi" w:hAnsiTheme="minorHAnsi" w:cs="Times New Roman"/>
                <w:bCs/>
                <w:i/>
                <w:color w:val="auto"/>
                <w:sz w:val="22"/>
                <w:szCs w:val="22"/>
              </w:rPr>
              <w:t>Turistička atrakcijska osnova</w:t>
            </w:r>
            <w:r>
              <w:rPr>
                <w:rFonts w:asciiTheme="minorHAnsi" w:hAnsiTheme="minorHAnsi" w:cs="Times New Roman"/>
                <w:bCs/>
                <w:color w:val="auto"/>
                <w:sz w:val="22"/>
                <w:szCs w:val="22"/>
              </w:rPr>
              <w:t>, Institut za turizam, Zagreb, (1-198)</w:t>
            </w:r>
          </w:p>
          <w:p w:rsidR="00C81173" w:rsidRDefault="00C81173" w:rsidP="00C81173">
            <w:pPr>
              <w:pStyle w:val="NormalWeb"/>
              <w:numPr>
                <w:ilvl w:val="0"/>
                <w:numId w:val="7"/>
              </w:numPr>
              <w:rPr>
                <w:rFonts w:asciiTheme="minorHAnsi" w:hAnsiTheme="minorHAnsi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Times New Roman"/>
                <w:bCs/>
                <w:color w:val="auto"/>
                <w:sz w:val="22"/>
                <w:szCs w:val="22"/>
              </w:rPr>
              <w:t>Van der Wagen, L., Carlos, B.R. (2008), Event management  - Upravljanje događanjima, Zagreb, Mate, (65-210)</w:t>
            </w:r>
          </w:p>
          <w:p w:rsidR="00C81173" w:rsidRPr="000B5E88" w:rsidRDefault="00C81173" w:rsidP="00C81173">
            <w:pPr>
              <w:pStyle w:val="ListParagraph"/>
              <w:spacing w:after="0" w:line="240" w:lineRule="auto"/>
            </w:pPr>
          </w:p>
          <w:p w:rsidR="000E3151" w:rsidRPr="000B5E88" w:rsidRDefault="000E3151" w:rsidP="000E3151">
            <w:pPr>
              <w:spacing w:after="0" w:line="240" w:lineRule="auto"/>
            </w:pPr>
          </w:p>
          <w:p w:rsidR="000E3151" w:rsidRPr="000B5E88" w:rsidRDefault="000E3151" w:rsidP="000E3151">
            <w:pPr>
              <w:spacing w:after="0" w:line="240" w:lineRule="auto"/>
            </w:pPr>
            <w:r w:rsidRPr="000B5E88">
              <w:t>Priručna: Promotivni materijali i brošure turističkih atrakcija</w:t>
            </w:r>
          </w:p>
        </w:tc>
      </w:tr>
    </w:tbl>
    <w:p w:rsidR="00EA6C80" w:rsidRDefault="00EA6C80"/>
    <w:sectPr w:rsidR="00EA6C80" w:rsidSect="00EB7F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loMinion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i w:val="0"/>
        <w:sz w:val="20"/>
        <w:u w:val="none"/>
      </w:rPr>
    </w:lvl>
  </w:abstractNum>
  <w:abstractNum w:abstractNumId="1" w15:restartNumberingAfterBreak="0">
    <w:nsid w:val="214875D4"/>
    <w:multiLevelType w:val="hybridMultilevel"/>
    <w:tmpl w:val="2444BC7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BD6270"/>
    <w:multiLevelType w:val="hybridMultilevel"/>
    <w:tmpl w:val="5FE2BE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E261D0"/>
    <w:multiLevelType w:val="hybridMultilevel"/>
    <w:tmpl w:val="45EE516C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D53050"/>
    <w:multiLevelType w:val="hybridMultilevel"/>
    <w:tmpl w:val="FC90B5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DE2FC2"/>
    <w:multiLevelType w:val="hybridMultilevel"/>
    <w:tmpl w:val="5038DC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23377D"/>
    <w:multiLevelType w:val="hybridMultilevel"/>
    <w:tmpl w:val="33F6ACA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AA0D69"/>
    <w:multiLevelType w:val="hybridMultilevel"/>
    <w:tmpl w:val="59F2006A"/>
    <w:lvl w:ilvl="0" w:tplc="041A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C008E9"/>
    <w:multiLevelType w:val="hybridMultilevel"/>
    <w:tmpl w:val="A29E2E64"/>
    <w:lvl w:ilvl="0" w:tplc="A3C0985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8"/>
  </w:num>
  <w:num w:numId="6">
    <w:abstractNumId w:val="5"/>
  </w:num>
  <w:num w:numId="7">
    <w:abstractNumId w:val="7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C80"/>
    <w:rsid w:val="00041081"/>
    <w:rsid w:val="000547B2"/>
    <w:rsid w:val="00097FBD"/>
    <w:rsid w:val="000B5E88"/>
    <w:rsid w:val="000E2279"/>
    <w:rsid w:val="000E3151"/>
    <w:rsid w:val="001002CA"/>
    <w:rsid w:val="001066D1"/>
    <w:rsid w:val="00161231"/>
    <w:rsid w:val="00177106"/>
    <w:rsid w:val="001B4FF8"/>
    <w:rsid w:val="001C1A24"/>
    <w:rsid w:val="001E1291"/>
    <w:rsid w:val="001E3BE2"/>
    <w:rsid w:val="0020292E"/>
    <w:rsid w:val="00215888"/>
    <w:rsid w:val="00255E3B"/>
    <w:rsid w:val="002A75D6"/>
    <w:rsid w:val="0039385F"/>
    <w:rsid w:val="0039596D"/>
    <w:rsid w:val="003F657C"/>
    <w:rsid w:val="0041055E"/>
    <w:rsid w:val="00434325"/>
    <w:rsid w:val="00486520"/>
    <w:rsid w:val="004A7F97"/>
    <w:rsid w:val="004E1591"/>
    <w:rsid w:val="004E2567"/>
    <w:rsid w:val="00516B9B"/>
    <w:rsid w:val="0057140E"/>
    <w:rsid w:val="005A415C"/>
    <w:rsid w:val="005C2D85"/>
    <w:rsid w:val="0061701E"/>
    <w:rsid w:val="006331B6"/>
    <w:rsid w:val="007200CA"/>
    <w:rsid w:val="00744F18"/>
    <w:rsid w:val="0077661A"/>
    <w:rsid w:val="007A3C8D"/>
    <w:rsid w:val="00876307"/>
    <w:rsid w:val="008866C7"/>
    <w:rsid w:val="00886B09"/>
    <w:rsid w:val="00916E95"/>
    <w:rsid w:val="00951F02"/>
    <w:rsid w:val="00955B6C"/>
    <w:rsid w:val="009636FC"/>
    <w:rsid w:val="009A4EBD"/>
    <w:rsid w:val="009D161F"/>
    <w:rsid w:val="00A048AA"/>
    <w:rsid w:val="00A1616B"/>
    <w:rsid w:val="00A1643E"/>
    <w:rsid w:val="00A2024D"/>
    <w:rsid w:val="00A63799"/>
    <w:rsid w:val="00A76186"/>
    <w:rsid w:val="00AB5B73"/>
    <w:rsid w:val="00AC072E"/>
    <w:rsid w:val="00AD1813"/>
    <w:rsid w:val="00AD187E"/>
    <w:rsid w:val="00B304BB"/>
    <w:rsid w:val="00B337D1"/>
    <w:rsid w:val="00B4625B"/>
    <w:rsid w:val="00BA40D1"/>
    <w:rsid w:val="00BD5E00"/>
    <w:rsid w:val="00C32B04"/>
    <w:rsid w:val="00C52B00"/>
    <w:rsid w:val="00C81173"/>
    <w:rsid w:val="00CC1A40"/>
    <w:rsid w:val="00D0396F"/>
    <w:rsid w:val="00D05A0E"/>
    <w:rsid w:val="00D12DFD"/>
    <w:rsid w:val="00DB6953"/>
    <w:rsid w:val="00E2015A"/>
    <w:rsid w:val="00E774E2"/>
    <w:rsid w:val="00E80F7E"/>
    <w:rsid w:val="00EA6C80"/>
    <w:rsid w:val="00EB7F96"/>
    <w:rsid w:val="00EE63C9"/>
    <w:rsid w:val="00F543FE"/>
    <w:rsid w:val="00F77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57587"/>
  <w15:docId w15:val="{4B8FB455-89B3-4B79-BDC0-9F1B6F87A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7F96"/>
  </w:style>
  <w:style w:type="paragraph" w:styleId="Heading3">
    <w:name w:val="heading 3"/>
    <w:basedOn w:val="Normal"/>
    <w:link w:val="Heading3Char"/>
    <w:uiPriority w:val="9"/>
    <w:qFormat/>
    <w:rsid w:val="00B337D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B337D1"/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paragraph" w:customStyle="1" w:styleId="Default">
    <w:name w:val="Default"/>
    <w:rsid w:val="00B337D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EE63C9"/>
    <w:pPr>
      <w:ind w:left="720"/>
      <w:contextualSpacing/>
    </w:pPr>
  </w:style>
  <w:style w:type="paragraph" w:styleId="NormalWeb">
    <w:name w:val="Normal (Web)"/>
    <w:aliases w:val=" Char"/>
    <w:basedOn w:val="Normal"/>
    <w:link w:val="NormalWebChar"/>
    <w:rsid w:val="00744F18"/>
    <w:pPr>
      <w:suppressAutoHyphens/>
      <w:spacing w:before="45" w:after="45" w:line="240" w:lineRule="auto"/>
    </w:pPr>
    <w:rPr>
      <w:rFonts w:ascii="Tahoma" w:eastAsia="Times New Roman" w:hAnsi="Tahoma" w:cs="SloMinion"/>
      <w:color w:val="666666"/>
      <w:sz w:val="20"/>
      <w:szCs w:val="20"/>
      <w:lang w:eastAsia="ar-SA"/>
    </w:rPr>
  </w:style>
  <w:style w:type="character" w:customStyle="1" w:styleId="NormalWebChar">
    <w:name w:val="Normal (Web) Char"/>
    <w:aliases w:val=" Char Char"/>
    <w:basedOn w:val="DefaultParagraphFont"/>
    <w:link w:val="NormalWeb"/>
    <w:rsid w:val="00744F18"/>
    <w:rPr>
      <w:rFonts w:ascii="Tahoma" w:eastAsia="Times New Roman" w:hAnsi="Tahoma" w:cs="SloMinion"/>
      <w:color w:val="666666"/>
      <w:sz w:val="20"/>
      <w:szCs w:val="20"/>
      <w:lang w:eastAsia="ar-SA"/>
    </w:rPr>
  </w:style>
  <w:style w:type="character" w:styleId="Hyperlink">
    <w:name w:val="Hyperlink"/>
    <w:basedOn w:val="DefaultParagraphFont"/>
    <w:rsid w:val="000B5E8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93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1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1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aapa.org/europe/documents/EuropeanCommissionResponse28-02-10.pdf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croatia-blog.net/hr/tradicija-i-nove-turisticke-atrakcij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istra.hr/hr/atrakcije-i-aktivnosti/kultura-i-umjetnost/znamenitosti/2804-ch-0?&amp;cr_offset=1&amp;l_over=1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travel.mapsofworld.com/europe/tourist-attraction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766B07-D5BD-464C-8E66-7A25BF2BA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1409</Words>
  <Characters>8032</Characters>
  <Application>Microsoft Office Word</Application>
  <DocSecurity>0</DocSecurity>
  <Lines>66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vilic</dc:creator>
  <cp:lastModifiedBy>Dalibor</cp:lastModifiedBy>
  <cp:revision>3</cp:revision>
  <dcterms:created xsi:type="dcterms:W3CDTF">2021-01-25T13:40:00Z</dcterms:created>
  <dcterms:modified xsi:type="dcterms:W3CDTF">2021-01-25T13:42:00Z</dcterms:modified>
</cp:coreProperties>
</file>